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650A279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96</w:t>
      </w:r>
      <w:r w:rsidR="00865EB6">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94DA2" w:rsidRPr="00394DA2">
        <w:rPr>
          <w:rFonts w:ascii="Arial" w:eastAsia="SimSun" w:hAnsi="Arial" w:cs="Times New Roman"/>
          <w:b/>
          <w:bCs/>
          <w:sz w:val="24"/>
          <w:szCs w:val="20"/>
          <w:lang w:val="en-GB" w:eastAsia="ja-JP"/>
        </w:rPr>
        <w:t>R4-2011327</w:t>
      </w:r>
    </w:p>
    <w:p w14:paraId="474C0253" w14:textId="52D64F68" w:rsidR="00841BCD" w:rsidRPr="00ED0BB4"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Pr>
          <w:rFonts w:ascii="Arial" w:eastAsia="SimSun" w:hAnsi="Arial" w:cs="Times New Roman"/>
          <w:b/>
          <w:sz w:val="24"/>
          <w:szCs w:val="20"/>
        </w:rPr>
        <w:t>17-28 Aug., 2020</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777E5B">
        <w:rPr>
          <w:rFonts w:ascii="Arial" w:eastAsia="Calibri" w:hAnsi="Arial" w:cs="Arial"/>
          <w:b/>
          <w:bCs/>
          <w:sz w:val="24"/>
          <w:lang w:val="en-GB"/>
        </w:rPr>
        <w:t xml:space="preserve">Nokia, </w:t>
      </w:r>
      <w:r w:rsidR="0043750A" w:rsidRPr="00777E5B">
        <w:rPr>
          <w:rFonts w:ascii="Arial" w:eastAsia="Calibri" w:hAnsi="Arial" w:cs="Arial"/>
          <w:b/>
          <w:bCs/>
          <w:sz w:val="24"/>
          <w:lang w:val="en-GB"/>
        </w:rPr>
        <w:t>Nokia</w:t>
      </w:r>
      <w:r w:rsidRPr="00777E5B">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1C977A9" w14:textId="27AB5D4B" w:rsidR="00841BCD" w:rsidRPr="009279D7"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9B3462">
        <w:rPr>
          <w:rFonts w:ascii="Arial" w:eastAsia="Calibri" w:hAnsi="Arial" w:cs="Arial"/>
          <w:b/>
          <w:bCs/>
          <w:sz w:val="24"/>
        </w:rPr>
        <w:t xml:space="preserve">-node </w:t>
      </w:r>
      <w:r w:rsidR="003D3F8B">
        <w:rPr>
          <w:rFonts w:ascii="Arial" w:eastAsia="Calibri" w:hAnsi="Arial" w:cs="Arial"/>
          <w:b/>
          <w:bCs/>
          <w:sz w:val="24"/>
        </w:rPr>
        <w:t>U</w:t>
      </w:r>
      <w:r w:rsidR="009B3462">
        <w:rPr>
          <w:rFonts w:ascii="Arial" w:eastAsia="Calibri" w:hAnsi="Arial" w:cs="Arial"/>
          <w:b/>
          <w:bCs/>
          <w:sz w:val="24"/>
        </w:rPr>
        <w:t>L</w:t>
      </w:r>
      <w:r w:rsidR="009279D7">
        <w:rPr>
          <w:rFonts w:ascii="Arial" w:eastAsia="Calibri" w:hAnsi="Arial" w:cs="Arial"/>
          <w:b/>
          <w:bCs/>
          <w:sz w:val="24"/>
        </w:rPr>
        <w:t xml:space="preserve"> demodulation requirements</w:t>
      </w:r>
    </w:p>
    <w:p w14:paraId="190058A7" w14:textId="3F11C872" w:rsidR="00841BCD" w:rsidRPr="00E12709"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Pr>
          <w:rFonts w:ascii="Arial" w:eastAsia="MS Mincho" w:hAnsi="Arial" w:cs="Arial"/>
          <w:b/>
          <w:bCs/>
          <w:sz w:val="24"/>
          <w:szCs w:val="20"/>
        </w:rPr>
        <w:t>7.4.5</w:t>
      </w:r>
      <w:r w:rsidR="00E12709">
        <w:rPr>
          <w:rFonts w:ascii="Arial" w:eastAsia="MS Mincho" w:hAnsi="Arial" w:cs="Arial"/>
          <w:b/>
          <w:bCs/>
          <w:sz w:val="24"/>
          <w:szCs w:val="20"/>
        </w:rPr>
        <w:t>.2</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2183F134" w14:textId="0BF6F200" w:rsidR="009279D7" w:rsidRDefault="009279D7" w:rsidP="009279D7">
      <w:pPr>
        <w:rPr>
          <w:lang w:val="en-GB"/>
        </w:rPr>
      </w:pPr>
      <w:r w:rsidRPr="009279D7">
        <w:rPr>
          <w:lang w:val="en-GB"/>
        </w:rPr>
        <w:t>The Integrated Access and Backhaul (IAB) for NR W</w:t>
      </w:r>
      <w:r w:rsidR="00B6277B">
        <w:t>I</w:t>
      </w:r>
      <w:r w:rsidRPr="009279D7">
        <w:rPr>
          <w:lang w:val="en-GB"/>
        </w:rPr>
        <w:t xml:space="preserve"> [1] defines the following objective of Performance part:</w:t>
      </w:r>
    </w:p>
    <w:tbl>
      <w:tblPr>
        <w:tblStyle w:val="TableGrid"/>
        <w:tblW w:w="4500" w:type="pct"/>
        <w:jc w:val="center"/>
        <w:tblLook w:val="04A0" w:firstRow="1" w:lastRow="0" w:firstColumn="1" w:lastColumn="0" w:noHBand="0" w:noVBand="1"/>
      </w:tblPr>
      <w:tblGrid>
        <w:gridCol w:w="8655"/>
      </w:tblGrid>
      <w:tr w:rsidR="009279D7" w14:paraId="6C1C5442" w14:textId="77777777" w:rsidTr="00AB4A1C">
        <w:trPr>
          <w:jc w:val="center"/>
        </w:trPr>
        <w:tc>
          <w:tcPr>
            <w:tcW w:w="8655" w:type="dxa"/>
          </w:tcPr>
          <w:p w14:paraId="2F0BA096" w14:textId="77777777" w:rsidR="009279D7" w:rsidRPr="00F570F6" w:rsidRDefault="009279D7" w:rsidP="00F214C6">
            <w:pPr>
              <w:numPr>
                <w:ilvl w:val="0"/>
                <w:numId w:val="5"/>
              </w:numPr>
              <w:overflowPunct w:val="0"/>
              <w:autoSpaceDE w:val="0"/>
              <w:autoSpaceDN w:val="0"/>
              <w:adjustRightInd w:val="0"/>
              <w:textAlignment w:val="baseline"/>
              <w:rPr>
                <w:bCs/>
                <w:lang w:eastAsia="zh-CN"/>
              </w:rPr>
            </w:pPr>
            <w:r>
              <w:t>Define demodulation performance requirements for both backhaul and access links of an IAB-node. [RAN4]</w:t>
            </w:r>
          </w:p>
        </w:tc>
      </w:tr>
    </w:tbl>
    <w:p w14:paraId="2FA03082" w14:textId="77777777" w:rsidR="009279D7" w:rsidRDefault="009279D7" w:rsidP="009279D7"/>
    <w:p w14:paraId="5E02DE00" w14:textId="43D42D6E" w:rsidR="009279D7" w:rsidRDefault="009279D7" w:rsidP="009279D7">
      <w:r>
        <w:t>In our contribution</w:t>
      </w:r>
      <w:r w:rsidR="00B12C17">
        <w:t xml:space="preserve"> </w:t>
      </w:r>
      <w:r w:rsidR="00B12C17">
        <w:fldChar w:fldCharType="begin"/>
      </w:r>
      <w:r w:rsidR="00B12C17">
        <w:instrText xml:space="preserve"> REF _Ref47611227 \r \h </w:instrText>
      </w:r>
      <w:r w:rsidR="00B12C17">
        <w:fldChar w:fldCharType="separate"/>
      </w:r>
      <w:r w:rsidR="00B12C17">
        <w:t>[2]</w:t>
      </w:r>
      <w:r w:rsidR="00B12C17">
        <w:fldChar w:fldCharType="end"/>
      </w:r>
      <w:r>
        <w:t xml:space="preserve">, </w:t>
      </w:r>
      <w:r w:rsidR="00294F0D">
        <w:t xml:space="preserve">we provide </w:t>
      </w:r>
      <w:r w:rsidR="00C0365F">
        <w:t xml:space="preserve">an </w:t>
      </w:r>
      <w:r w:rsidR="00294F0D">
        <w:t>in-depth overview of</w:t>
      </w:r>
      <w:r w:rsidR="00B65963">
        <w:t xml:space="preserve"> NR</w:t>
      </w:r>
      <w:r w:rsidR="00294F0D">
        <w:t xml:space="preserve"> IAB technology, introduced specification changes with</w:t>
      </w:r>
      <w:r w:rsidR="001F43FB">
        <w:t xml:space="preserve"> a</w:t>
      </w:r>
      <w:r w:rsidR="00294F0D">
        <w:t xml:space="preserve"> potential impact on IAB-node demodulation performance, and IAB deployment scenarios. It is concluded that the specification changes</w:t>
      </w:r>
      <w:r w:rsidR="00CB412C">
        <w:t xml:space="preserve"> should not impact the demodulation performance of IAB nodes.</w:t>
      </w:r>
      <w:r w:rsidR="009B3462">
        <w:t xml:space="preserve"> </w:t>
      </w:r>
      <w:r w:rsidR="002349CE">
        <w:t>However, due</w:t>
      </w:r>
      <w:r w:rsidR="009B3462">
        <w:t xml:space="preserve"> to the much more predictable and less dynamic deployment</w:t>
      </w:r>
      <w:r w:rsidR="002349CE">
        <w:t xml:space="preserve"> conditions</w:t>
      </w:r>
      <w:r w:rsidR="009B3462">
        <w:t>, the IAB-node performance requirements can be simplified.</w:t>
      </w:r>
    </w:p>
    <w:p w14:paraId="5D8948D5" w14:textId="0825B47D" w:rsidR="00CB412C" w:rsidRPr="009279D7" w:rsidRDefault="00CB412C" w:rsidP="009279D7">
      <w:r>
        <w:t xml:space="preserve">In this paper, </w:t>
      </w:r>
      <w:r w:rsidR="009B3462">
        <w:t xml:space="preserve">we </w:t>
      </w:r>
      <w:r w:rsidR="00B00312">
        <w:t>consider</w:t>
      </w:r>
      <w:r w:rsidR="009B3462">
        <w:t xml:space="preserve"> the scope of </w:t>
      </w:r>
      <w:r w:rsidR="001F43FB" w:rsidRPr="001F43FB">
        <w:t>IAB-node</w:t>
      </w:r>
      <w:r w:rsidR="001F43FB">
        <w:t xml:space="preserve"> </w:t>
      </w:r>
      <w:r w:rsidR="001F43FB" w:rsidRPr="001F43FB">
        <w:t>demodulation</w:t>
      </w:r>
      <w:r w:rsidR="002349CE">
        <w:t xml:space="preserve"> in </w:t>
      </w:r>
      <w:r w:rsidR="003D3F8B">
        <w:t>U</w:t>
      </w:r>
      <w:r w:rsidR="002349CE">
        <w:t>L direction</w:t>
      </w:r>
      <w:r w:rsidR="001F43FB" w:rsidRPr="001F43FB">
        <w:t xml:space="preserve"> </w:t>
      </w:r>
      <w:r w:rsidR="009B3462">
        <w:t xml:space="preserve">and propose several simplifications in the existing </w:t>
      </w:r>
      <w:r w:rsidR="001F43FB">
        <w:t>BS</w:t>
      </w:r>
      <w:r w:rsidR="009B3462">
        <w:t xml:space="preserve"> </w:t>
      </w:r>
      <w:r w:rsidR="001F43FB">
        <w:t>performance requirements</w:t>
      </w:r>
      <w:r w:rsidR="009B3462">
        <w:t xml:space="preserve"> to address the IAB architecture and deployments.</w:t>
      </w:r>
    </w:p>
    <w:p w14:paraId="2BD6884B" w14:textId="23D160A5" w:rsidR="009B3462" w:rsidRDefault="009B3462" w:rsidP="00AE56B1">
      <w:pPr>
        <w:pStyle w:val="RAN4H1"/>
      </w:pPr>
      <w:r>
        <w:t>Integrated Access &amp; Backhaul</w:t>
      </w:r>
    </w:p>
    <w:p w14:paraId="32756326" w14:textId="4C0FA4C2" w:rsidR="009B3462" w:rsidRDefault="009B3462" w:rsidP="009B3462">
      <w:pPr>
        <w:pStyle w:val="RAN4H2"/>
      </w:pPr>
      <w:r>
        <w:t>The scope of IAB demodulation</w:t>
      </w:r>
    </w:p>
    <w:p w14:paraId="56076EF2" w14:textId="04CAA3AB" w:rsidR="00E33ECE" w:rsidRDefault="00E33ECE" w:rsidP="00E33ECE">
      <w:r>
        <w:t>As it can be seen in</w:t>
      </w:r>
      <w:r w:rsidR="007032E9">
        <w:t xml:space="preserve"> </w:t>
      </w:r>
      <w:r w:rsidR="007032E9">
        <w:fldChar w:fldCharType="begin"/>
      </w:r>
      <w:r w:rsidR="007032E9">
        <w:instrText xml:space="preserve"> REF _Ref47453389 \h </w:instrText>
      </w:r>
      <w:r w:rsidR="007032E9">
        <w:fldChar w:fldCharType="separate"/>
      </w:r>
      <w:r w:rsidR="007032E9">
        <w:t xml:space="preserve">Figure </w:t>
      </w:r>
      <w:r w:rsidR="007032E9">
        <w:rPr>
          <w:noProof/>
        </w:rPr>
        <w:t>1</w:t>
      </w:r>
      <w:r w:rsidR="007032E9">
        <w:fldChar w:fldCharType="end"/>
      </w:r>
      <w:r>
        <w:t>,</w:t>
      </w:r>
      <w:r w:rsidRPr="00C0365F">
        <w:t xml:space="preserve"> </w:t>
      </w:r>
      <w:r>
        <w:t xml:space="preserve">in IAB </w:t>
      </w:r>
      <w:r w:rsidR="007032E9">
        <w:t>deployment</w:t>
      </w:r>
      <w:r w:rsidR="00C0365F">
        <w:t>,</w:t>
      </w:r>
      <w:r w:rsidR="007032E9">
        <w:t xml:space="preserve"> </w:t>
      </w:r>
      <w:r>
        <w:t xml:space="preserve">there are in total </w:t>
      </w:r>
      <w:r w:rsidR="00C0365F">
        <w:t>six</w:t>
      </w:r>
      <w:r>
        <w:t xml:space="preserve"> different link types:</w:t>
      </w:r>
    </w:p>
    <w:p w14:paraId="76381F37" w14:textId="39955C83" w:rsidR="00E33ECE" w:rsidRPr="00B3630F" w:rsidRDefault="00E33ECE" w:rsidP="00F214C6">
      <w:pPr>
        <w:pStyle w:val="ListParagraph"/>
        <w:numPr>
          <w:ilvl w:val="0"/>
          <w:numId w:val="8"/>
        </w:numPr>
        <w:rPr>
          <w:lang w:val="en-GB"/>
        </w:rPr>
      </w:pPr>
      <w:r w:rsidRPr="00B3630F">
        <w:rPr>
          <w:lang w:val="en-GB"/>
        </w:rPr>
        <w:t xml:space="preserve">Parent </w:t>
      </w:r>
      <w:r>
        <w:rPr>
          <w:lang w:val="en-GB"/>
        </w:rPr>
        <w:t>backhaul (</w:t>
      </w:r>
      <w:r w:rsidRPr="00B3630F">
        <w:rPr>
          <w:lang w:val="en-GB"/>
        </w:rPr>
        <w:t>BH</w:t>
      </w:r>
      <w:r>
        <w:rPr>
          <w:lang w:val="en-GB"/>
        </w:rPr>
        <w:t>)</w:t>
      </w:r>
      <w:r w:rsidRPr="00B3630F">
        <w:rPr>
          <w:lang w:val="en-GB"/>
        </w:rPr>
        <w:t>:</w:t>
      </w:r>
      <w:r>
        <w:t xml:space="preserve"> the BH l</w:t>
      </w:r>
      <w:r w:rsidRPr="00B3630F">
        <w:rPr>
          <w:lang w:val="en-GB"/>
        </w:rPr>
        <w:t>ink</w:t>
      </w:r>
      <w:r>
        <w:t>s</w:t>
      </w:r>
      <w:r w:rsidRPr="00B3630F">
        <w:rPr>
          <w:lang w:val="en-GB"/>
        </w:rPr>
        <w:t xml:space="preserve"> between Parent node and IAB</w:t>
      </w:r>
      <w:r>
        <w:t>-</w:t>
      </w:r>
      <w:r w:rsidRPr="00B3630F">
        <w:rPr>
          <w:lang w:val="en-GB"/>
        </w:rPr>
        <w:t>node</w:t>
      </w:r>
      <w:r>
        <w:rPr>
          <w:lang w:val="en-GB"/>
        </w:rPr>
        <w:t>.</w:t>
      </w:r>
    </w:p>
    <w:p w14:paraId="621270FF" w14:textId="320AE076" w:rsidR="00E33ECE" w:rsidRPr="00B3630F" w:rsidRDefault="00E33ECE" w:rsidP="00F214C6">
      <w:pPr>
        <w:pStyle w:val="ListParagraph"/>
        <w:numPr>
          <w:ilvl w:val="0"/>
          <w:numId w:val="8"/>
        </w:numPr>
        <w:rPr>
          <w:lang w:val="en-GB"/>
        </w:rPr>
      </w:pPr>
      <w:r w:rsidRPr="00B3630F">
        <w:rPr>
          <w:lang w:val="en-GB"/>
        </w:rPr>
        <w:t xml:space="preserve">Child BH: </w:t>
      </w:r>
      <w:r>
        <w:t xml:space="preserve">the </w:t>
      </w:r>
      <w:r w:rsidRPr="00B3630F">
        <w:rPr>
          <w:lang w:val="en-GB"/>
        </w:rPr>
        <w:t>BH link</w:t>
      </w:r>
      <w:r>
        <w:t>s</w:t>
      </w:r>
      <w:r w:rsidRPr="00B3630F">
        <w:rPr>
          <w:lang w:val="en-GB"/>
        </w:rPr>
        <w:t xml:space="preserve"> between IAB</w:t>
      </w:r>
      <w:r>
        <w:t>-</w:t>
      </w:r>
      <w:r w:rsidRPr="00B3630F">
        <w:rPr>
          <w:lang w:val="en-GB"/>
        </w:rPr>
        <w:t>node and Child node</w:t>
      </w:r>
      <w:r>
        <w:rPr>
          <w:lang w:val="en-GB"/>
        </w:rPr>
        <w:t>.</w:t>
      </w:r>
    </w:p>
    <w:p w14:paraId="7885D5C1" w14:textId="6651E4A8" w:rsidR="00E33ECE" w:rsidRPr="00B3630F" w:rsidRDefault="00E33ECE" w:rsidP="00F214C6">
      <w:pPr>
        <w:pStyle w:val="ListParagraph"/>
        <w:numPr>
          <w:ilvl w:val="0"/>
          <w:numId w:val="8"/>
        </w:numPr>
        <w:rPr>
          <w:lang w:val="en-GB"/>
        </w:rPr>
      </w:pPr>
      <w:r w:rsidRPr="00B3630F">
        <w:rPr>
          <w:lang w:val="en-GB"/>
        </w:rPr>
        <w:t xml:space="preserve">Access: </w:t>
      </w:r>
      <w:r>
        <w:t>the l</w:t>
      </w:r>
      <w:r w:rsidRPr="00B3630F">
        <w:rPr>
          <w:lang w:val="en-GB"/>
        </w:rPr>
        <w:t>ink</w:t>
      </w:r>
      <w:r>
        <w:t>s</w:t>
      </w:r>
      <w:r w:rsidRPr="00B3630F">
        <w:rPr>
          <w:lang w:val="en-GB"/>
        </w:rPr>
        <w:t xml:space="preserve"> between Access UE and IAB node/IAB donor</w:t>
      </w:r>
      <w:r>
        <w:rPr>
          <w:lang w:val="en-GB"/>
        </w:rPr>
        <w:t>.</w:t>
      </w:r>
    </w:p>
    <w:p w14:paraId="41663544" w14:textId="77777777" w:rsidR="00E33ECE" w:rsidRPr="00F00D6A" w:rsidRDefault="00E33ECE" w:rsidP="00F214C6">
      <w:pPr>
        <w:pStyle w:val="ListParagraph"/>
        <w:numPr>
          <w:ilvl w:val="0"/>
          <w:numId w:val="7"/>
        </w:numPr>
        <w:rPr>
          <w:lang w:val="en-GB"/>
        </w:rPr>
      </w:pPr>
      <w:r w:rsidRPr="00B3630F">
        <w:rPr>
          <w:lang w:val="en-GB"/>
        </w:rPr>
        <w:t>DL (Downlink) and UL (Uplink) for all</w:t>
      </w:r>
      <w:r>
        <w:t xml:space="preserve"> the </w:t>
      </w:r>
      <w:r w:rsidRPr="00B3630F">
        <w:rPr>
          <w:lang w:val="en-GB"/>
        </w:rPr>
        <w:t>links</w:t>
      </w:r>
      <w:r>
        <w:t xml:space="preserve"> above</w:t>
      </w:r>
      <w:r>
        <w:rPr>
          <w:lang w:val="en-GB"/>
        </w:rPr>
        <w:t>.</w:t>
      </w:r>
    </w:p>
    <w:p w14:paraId="0F30966C" w14:textId="77777777" w:rsidR="00E33ECE" w:rsidRPr="00E33ECE" w:rsidRDefault="00E33ECE" w:rsidP="00E33ECE"/>
    <w:p w14:paraId="3C740A35" w14:textId="77777777" w:rsidR="009B3462" w:rsidRDefault="009B3462" w:rsidP="009B3462">
      <w:pPr>
        <w:keepNext/>
        <w:jc w:val="center"/>
      </w:pPr>
      <w:r w:rsidRPr="00E23CFA">
        <w:rPr>
          <w:noProof/>
          <w:lang w:eastAsia="zh-CN"/>
        </w:rPr>
        <w:drawing>
          <wp:inline distT="0" distB="0" distL="0" distR="0" wp14:anchorId="36FD7D8F" wp14:editId="35C69A16">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481EB888" w14:textId="297F47E2" w:rsidR="009B3462" w:rsidRDefault="009B3462" w:rsidP="009B3462">
      <w:pPr>
        <w:pStyle w:val="Caption"/>
      </w:pPr>
      <w:bookmarkStart w:id="3" w:name="_Ref47453389"/>
      <w:r>
        <w:t xml:space="preserve">Figure </w:t>
      </w:r>
      <w:fldSimple w:instr=" SEQ Figure \* ARABIC ">
        <w:r>
          <w:rPr>
            <w:noProof/>
          </w:rPr>
          <w:t>1</w:t>
        </w:r>
      </w:fldSimple>
      <w:bookmarkEnd w:id="3"/>
      <w:r>
        <w:t>: Different IAB link types.</w:t>
      </w:r>
    </w:p>
    <w:p w14:paraId="2E4E7E3F" w14:textId="144E1081" w:rsidR="00E73C64" w:rsidRDefault="00E73C64" w:rsidP="009B3462">
      <w:r>
        <w:t>Both IAB-MT and IAB-DU are the parts of the same device, i.e., BS or IAB-node, deployed by a RAN vendor.</w:t>
      </w:r>
    </w:p>
    <w:p w14:paraId="5A0BAFD7" w14:textId="5F85E27B" w:rsidR="009B3462" w:rsidRPr="009B3462" w:rsidRDefault="009B3462" w:rsidP="009B3462">
      <w:r w:rsidRPr="009B3462">
        <w:t xml:space="preserve">With the introduction of IAB, </w:t>
      </w:r>
      <w:r w:rsidR="007032E9">
        <w:t>there are</w:t>
      </w:r>
      <w:r w:rsidRPr="009B3462">
        <w:t xml:space="preserve"> following types of demodulation:</w:t>
      </w:r>
    </w:p>
    <w:p w14:paraId="368C2D97" w14:textId="77777777" w:rsidR="00E33ECE" w:rsidRPr="001C0402" w:rsidRDefault="00E33ECE" w:rsidP="00F214C6">
      <w:pPr>
        <w:pStyle w:val="ListParagraph"/>
        <w:numPr>
          <w:ilvl w:val="0"/>
          <w:numId w:val="9"/>
        </w:numPr>
        <w:rPr>
          <w:lang w:val="en-GB"/>
        </w:rPr>
      </w:pPr>
      <w:r w:rsidRPr="001C0402">
        <w:t>BS Demod covering UL access channels,</w:t>
      </w:r>
    </w:p>
    <w:p w14:paraId="3ABDBF9D" w14:textId="77777777" w:rsidR="00E33ECE" w:rsidRPr="001C0402" w:rsidRDefault="00E33ECE" w:rsidP="00F214C6">
      <w:pPr>
        <w:pStyle w:val="ListParagraph"/>
        <w:numPr>
          <w:ilvl w:val="0"/>
          <w:numId w:val="9"/>
        </w:numPr>
        <w:rPr>
          <w:lang w:val="en-GB"/>
        </w:rPr>
      </w:pPr>
      <w:r w:rsidRPr="001C0402">
        <w:lastRenderedPageBreak/>
        <w:t>UE Demod covering DL access channels),</w:t>
      </w:r>
    </w:p>
    <w:p w14:paraId="1C6CC7FF" w14:textId="77777777" w:rsidR="00E33ECE" w:rsidRPr="001C0402" w:rsidRDefault="00E33ECE" w:rsidP="00F214C6">
      <w:pPr>
        <w:pStyle w:val="ListParagraph"/>
        <w:numPr>
          <w:ilvl w:val="0"/>
          <w:numId w:val="9"/>
        </w:numPr>
        <w:rPr>
          <w:lang w:val="en-GB"/>
        </w:rPr>
      </w:pPr>
      <w:r w:rsidRPr="001C0402">
        <w:t>IAB-node Demod covering UL BH channels,</w:t>
      </w:r>
    </w:p>
    <w:p w14:paraId="144152F0" w14:textId="77777777" w:rsidR="00E33ECE" w:rsidRPr="001C0402" w:rsidRDefault="00E33ECE" w:rsidP="00F214C6">
      <w:pPr>
        <w:pStyle w:val="ListParagraph"/>
        <w:numPr>
          <w:ilvl w:val="0"/>
          <w:numId w:val="9"/>
        </w:numPr>
        <w:rPr>
          <w:lang w:val="en-GB"/>
        </w:rPr>
      </w:pPr>
      <w:r w:rsidRPr="001C0402">
        <w:rPr>
          <w:lang w:val="en-GB"/>
        </w:rPr>
        <w:t>IAB</w:t>
      </w:r>
      <w:r w:rsidRPr="001C0402">
        <w:t>-node</w:t>
      </w:r>
      <w:r w:rsidRPr="001C0402">
        <w:rPr>
          <w:lang w:val="en-GB"/>
        </w:rPr>
        <w:t xml:space="preserve"> </w:t>
      </w:r>
      <w:proofErr w:type="spellStart"/>
      <w:r w:rsidRPr="001C0402">
        <w:rPr>
          <w:lang w:val="en-GB"/>
        </w:rPr>
        <w:t>Demod</w:t>
      </w:r>
      <w:proofErr w:type="spellEnd"/>
      <w:r w:rsidRPr="001C0402">
        <w:t xml:space="preserve"> covering DL BH channels.</w:t>
      </w:r>
    </w:p>
    <w:p w14:paraId="18E2EAB9" w14:textId="795B479D" w:rsidR="000B77C9" w:rsidRDefault="000B77C9" w:rsidP="000B77C9">
      <w:r>
        <w:t>UE Demod and BS Demod in IAB context are the same as the “traditional” UE and BS demodulation. Since IAB is transparent for the UEs, UE Demod and BS Demod are not in the</w:t>
      </w:r>
      <w:r w:rsidR="00E31F1F" w:rsidRPr="00E31F1F">
        <w:t xml:space="preserve"> </w:t>
      </w:r>
      <w:r w:rsidR="00E31F1F">
        <w:t>real</w:t>
      </w:r>
      <w:r>
        <w:t xml:space="preserve"> scope of IAB demodulation.</w:t>
      </w:r>
    </w:p>
    <w:p w14:paraId="3DD73949" w14:textId="2F72E94C" w:rsidR="009B5C62" w:rsidRPr="00061CCF" w:rsidRDefault="00061CCF" w:rsidP="000B77C9">
      <w:r>
        <w:t>IAB-node Demod for the DL BH channels is discussed in more det</w:t>
      </w:r>
      <w:r w:rsidR="00E96158">
        <w:t>ails in our contribution</w:t>
      </w:r>
      <w:r w:rsidR="00B12C17">
        <w:t xml:space="preserve"> </w:t>
      </w:r>
      <w:r w:rsidR="00F214C6">
        <w:fldChar w:fldCharType="begin"/>
      </w:r>
      <w:r w:rsidR="00F214C6">
        <w:instrText xml:space="preserve"> REF _Ref47611266 \r \h </w:instrText>
      </w:r>
      <w:r w:rsidR="00F214C6">
        <w:fldChar w:fldCharType="separate"/>
      </w:r>
      <w:r w:rsidR="00F214C6">
        <w:t>[3]</w:t>
      </w:r>
      <w:r w:rsidR="00F214C6">
        <w:fldChar w:fldCharType="end"/>
      </w:r>
      <w:r w:rsidR="00B12C17">
        <w:t>.</w:t>
      </w:r>
    </w:p>
    <w:p w14:paraId="7A4BA0DB" w14:textId="3150AF31" w:rsidR="00C27D9B" w:rsidRDefault="00C27D9B" w:rsidP="00F62E17">
      <w:pPr>
        <w:pStyle w:val="RAN4observation0"/>
        <w:jc w:val="both"/>
      </w:pPr>
      <w:bookmarkStart w:id="4" w:name="_Ref47533806"/>
      <w:r>
        <w:t>The IAB-node</w:t>
      </w:r>
      <w:r w:rsidR="00F62E17">
        <w:t xml:space="preserve"> </w:t>
      </w:r>
      <w:r w:rsidR="00F62E17" w:rsidRPr="00F62E17">
        <w:t>UL</w:t>
      </w:r>
      <w:r>
        <w:t xml:space="preserve"> demodulation requirements are very similar to the “traditional” BS demodulation.</w:t>
      </w:r>
      <w:bookmarkEnd w:id="4"/>
    </w:p>
    <w:p w14:paraId="343D8E16" w14:textId="3BB53C32" w:rsidR="00C27D9B" w:rsidRPr="00C27D9B" w:rsidRDefault="00E63511" w:rsidP="007F560F">
      <w:pPr>
        <w:pStyle w:val="RAN4proposal"/>
      </w:pPr>
      <w:bookmarkStart w:id="5" w:name="_Ref47534087"/>
      <w:r>
        <w:t>If found to be required, reuse</w:t>
      </w:r>
      <w:r w:rsidR="00C27D9B">
        <w:t xml:space="preserve"> existing BS demodulation performance requirements for the IAB-nodes</w:t>
      </w:r>
      <w:r w:rsidR="00023C0C" w:rsidRPr="002349CE">
        <w:t xml:space="preserve"> </w:t>
      </w:r>
      <w:r w:rsidR="00023C0C">
        <w:t>as far as possible</w:t>
      </w:r>
      <w:r w:rsidR="00C27D9B">
        <w:t>.</w:t>
      </w:r>
      <w:bookmarkEnd w:id="5"/>
    </w:p>
    <w:p w14:paraId="418968D9" w14:textId="6337E783" w:rsidR="009B3462" w:rsidRDefault="009B3462" w:rsidP="009B3462">
      <w:pPr>
        <w:pStyle w:val="RAN4H2"/>
      </w:pPr>
      <w:r>
        <w:t>IAB use cases and deployments</w:t>
      </w:r>
    </w:p>
    <w:p w14:paraId="45BDC898" w14:textId="77777777" w:rsidR="00C27D9B" w:rsidRPr="00C27D9B" w:rsidRDefault="00C27D9B" w:rsidP="00C27D9B">
      <w:r w:rsidRPr="00C27D9B">
        <w:t>The main reasons for IAB deployment are:</w:t>
      </w:r>
    </w:p>
    <w:p w14:paraId="1CC5368E" w14:textId="7584F37F" w:rsidR="00C27D9B" w:rsidRPr="001C0402" w:rsidRDefault="00C27D9B" w:rsidP="00F214C6">
      <w:pPr>
        <w:pStyle w:val="ListParagraph"/>
        <w:numPr>
          <w:ilvl w:val="0"/>
          <w:numId w:val="13"/>
        </w:numPr>
      </w:pPr>
      <w:r w:rsidRPr="001C0402">
        <w:t>Mitigate dependency on sparse fib</w:t>
      </w:r>
      <w:r w:rsidR="00C0365F">
        <w:t>er</w:t>
      </w:r>
      <w:r w:rsidRPr="001C0402">
        <w:t xml:space="preserve"> access</w:t>
      </w:r>
    </w:p>
    <w:p w14:paraId="54CA9610" w14:textId="62DEA38C" w:rsidR="00C27D9B" w:rsidRPr="001C0402" w:rsidRDefault="00C27D9B" w:rsidP="00F214C6">
      <w:pPr>
        <w:pStyle w:val="ListParagraph"/>
        <w:numPr>
          <w:ilvl w:val="0"/>
          <w:numId w:val="13"/>
        </w:numPr>
      </w:pPr>
      <w:r w:rsidRPr="001C0402">
        <w:t>Remediate isolated coverage gaps</w:t>
      </w:r>
    </w:p>
    <w:p w14:paraId="7AEBD1A7" w14:textId="3B425796" w:rsidR="00C27D9B" w:rsidRPr="001C0402" w:rsidRDefault="00C27D9B" w:rsidP="00F214C6">
      <w:pPr>
        <w:pStyle w:val="ListParagraph"/>
        <w:numPr>
          <w:ilvl w:val="0"/>
          <w:numId w:val="13"/>
        </w:numPr>
      </w:pPr>
      <w:r w:rsidRPr="001C0402">
        <w:t>Enhance capacity</w:t>
      </w:r>
    </w:p>
    <w:p w14:paraId="43D6FECF" w14:textId="593810AA" w:rsidR="00C27D9B" w:rsidRPr="001C0402" w:rsidRDefault="00C27D9B" w:rsidP="00F214C6">
      <w:pPr>
        <w:pStyle w:val="ListParagraph"/>
        <w:numPr>
          <w:ilvl w:val="0"/>
          <w:numId w:val="13"/>
        </w:numPr>
      </w:pPr>
      <w:r w:rsidRPr="001C0402">
        <w:t>Bridge coverage from outdoor to indoor</w:t>
      </w:r>
    </w:p>
    <w:p w14:paraId="70023481" w14:textId="3364BC1F" w:rsidR="006D2F02" w:rsidRDefault="00C27D9B" w:rsidP="00C27D9B">
      <w:r w:rsidRPr="00C27D9B">
        <w:t>Another IAB use case is</w:t>
      </w:r>
      <w:r w:rsidR="00023C0C">
        <w:t xml:space="preserve"> in</w:t>
      </w:r>
      <w:r w:rsidRPr="00C27D9B">
        <w:t xml:space="preserve"> enabling group mobility; however, this was excluded from the scope of the Rel-16 IAB WI.</w:t>
      </w:r>
    </w:p>
    <w:p w14:paraId="3D1362D4" w14:textId="1AACBE03" w:rsidR="00C27D9B" w:rsidRPr="00C27D9B" w:rsidRDefault="00C27D9B" w:rsidP="00C27D9B">
      <w:r w:rsidRPr="00C27D9B">
        <w:t>In the case of fixed IAB-nodes considered in Rel. 16, two principal deployments are envisioned:</w:t>
      </w:r>
    </w:p>
    <w:p w14:paraId="2BC334CF" w14:textId="087E45D4" w:rsidR="00C27D9B" w:rsidRPr="00C27D9B" w:rsidRDefault="00C27D9B" w:rsidP="00F214C6">
      <w:pPr>
        <w:pStyle w:val="ListParagraph"/>
        <w:numPr>
          <w:ilvl w:val="0"/>
          <w:numId w:val="12"/>
        </w:numPr>
      </w:pPr>
      <w:r w:rsidRPr="00023C0C">
        <w:rPr>
          <w:b/>
          <w:bCs/>
        </w:rPr>
        <w:t>Outdoor high site to street site scenario</w:t>
      </w:r>
      <w:r w:rsidRPr="00C27D9B">
        <w:t>, where IAB-Donors are located on the top of the building, and IAB-nodes are lower, e.g.</w:t>
      </w:r>
      <w:r w:rsidR="00C0365F">
        <w:t>,</w:t>
      </w:r>
      <w:r w:rsidRPr="00C27D9B">
        <w:t xml:space="preserve"> integrated into the light posts.</w:t>
      </w:r>
    </w:p>
    <w:p w14:paraId="51E4CF3F" w14:textId="01946978" w:rsidR="00C27D9B" w:rsidRDefault="00C27D9B" w:rsidP="00F214C6">
      <w:pPr>
        <w:pStyle w:val="ListParagraph"/>
        <w:numPr>
          <w:ilvl w:val="0"/>
          <w:numId w:val="12"/>
        </w:numPr>
      </w:pPr>
      <w:r w:rsidRPr="00023C0C">
        <w:rPr>
          <w:b/>
          <w:bCs/>
        </w:rPr>
        <w:t>Outdoor street site to street site scenario</w:t>
      </w:r>
      <w:r w:rsidRPr="00C27D9B">
        <w:t>, when both IAB Donors and IAB nodes are on the same level and are distributed over the streets.</w:t>
      </w:r>
    </w:p>
    <w:p w14:paraId="67254E9C" w14:textId="77777777" w:rsidR="00023C0C" w:rsidRPr="00023C0C" w:rsidRDefault="00023C0C" w:rsidP="00023C0C">
      <w:r w:rsidRPr="00023C0C">
        <w:t>Few additional scenarios for IAB include</w:t>
      </w:r>
    </w:p>
    <w:p w14:paraId="1D45B71A" w14:textId="02B135CE" w:rsidR="00023C0C" w:rsidRPr="00023C0C" w:rsidRDefault="00023C0C" w:rsidP="00F214C6">
      <w:pPr>
        <w:pStyle w:val="ListParagraph"/>
        <w:numPr>
          <w:ilvl w:val="0"/>
          <w:numId w:val="10"/>
        </w:numPr>
      </w:pPr>
      <w:r w:rsidRPr="00023C0C">
        <w:t>Outdoor to indoor scenario, when an IAB Donor is paced outside of the building</w:t>
      </w:r>
      <w:r w:rsidR="000748B7">
        <w:t>,</w:t>
      </w:r>
      <w:r w:rsidRPr="00023C0C">
        <w:t xml:space="preserve"> and IAB nodes are inside.</w:t>
      </w:r>
    </w:p>
    <w:p w14:paraId="359ED62B" w14:textId="49029A29" w:rsidR="00023C0C" w:rsidRDefault="00023C0C" w:rsidP="00F214C6">
      <w:pPr>
        <w:pStyle w:val="ListParagraph"/>
        <w:numPr>
          <w:ilvl w:val="0"/>
          <w:numId w:val="10"/>
        </w:numPr>
      </w:pPr>
      <w:r w:rsidRPr="00023C0C">
        <w:t>Indoor scenario, when both IAB donor and IAB nodes are located inside the building.</w:t>
      </w:r>
    </w:p>
    <w:p w14:paraId="450BE282" w14:textId="346C6A3F" w:rsidR="00023C0C" w:rsidRPr="00023C0C" w:rsidRDefault="00023C0C" w:rsidP="00023C0C">
      <w:r w:rsidRPr="00023C0C">
        <w:t xml:space="preserve">As it can be </w:t>
      </w:r>
      <w:r>
        <w:t>observed</w:t>
      </w:r>
      <w:r w:rsidRPr="00023C0C">
        <w:t xml:space="preserve"> from the presented IAB scenarios, the deployment conditions of IAB-nodes are different from the traditional RAN scenarios, at least in the following aspects:</w:t>
      </w:r>
    </w:p>
    <w:p w14:paraId="73FD6C4A" w14:textId="5ECD30A7" w:rsidR="00023C0C" w:rsidRPr="00023C0C" w:rsidRDefault="00023C0C" w:rsidP="00F214C6">
      <w:pPr>
        <w:pStyle w:val="ListParagraph"/>
        <w:numPr>
          <w:ilvl w:val="0"/>
          <w:numId w:val="11"/>
        </w:numPr>
      </w:pPr>
      <w:r w:rsidRPr="00023C0C">
        <w:t>Very deterministic and predictable behaviour of the MT, when compared to UE.</w:t>
      </w:r>
    </w:p>
    <w:p w14:paraId="6684983C" w14:textId="77777777" w:rsidR="00023C0C" w:rsidRPr="00CB0208" w:rsidRDefault="00023C0C" w:rsidP="00F214C6">
      <w:pPr>
        <w:pStyle w:val="ListParagraph"/>
        <w:numPr>
          <w:ilvl w:val="0"/>
          <w:numId w:val="14"/>
        </w:numPr>
      </w:pPr>
      <w:r w:rsidRPr="00CB0208">
        <w:t>Principally LOS deployment</w:t>
      </w:r>
      <w:r>
        <w:t xml:space="preserve"> of BH links.</w:t>
      </w:r>
    </w:p>
    <w:p w14:paraId="45520058" w14:textId="77904FAD" w:rsidR="00023C0C" w:rsidRPr="00023C0C" w:rsidRDefault="001B69CC" w:rsidP="00F214C6">
      <w:pPr>
        <w:pStyle w:val="ListParagraph"/>
        <w:numPr>
          <w:ilvl w:val="0"/>
          <w:numId w:val="11"/>
        </w:numPr>
      </w:pPr>
      <w:r>
        <w:t>Relaxed</w:t>
      </w:r>
      <w:r w:rsidR="00023C0C" w:rsidRPr="00023C0C">
        <w:t xml:space="preserve"> beam management</w:t>
      </w:r>
      <w:r>
        <w:t xml:space="preserve"> requirements</w:t>
      </w:r>
      <w:r w:rsidR="00023C0C">
        <w:t>.</w:t>
      </w:r>
    </w:p>
    <w:p w14:paraId="03E0E6EC" w14:textId="34D5EAD6" w:rsidR="00023C0C" w:rsidRDefault="00023C0C" w:rsidP="00F214C6">
      <w:pPr>
        <w:pStyle w:val="ListParagraph"/>
        <w:numPr>
          <w:ilvl w:val="0"/>
          <w:numId w:val="11"/>
        </w:numPr>
      </w:pPr>
      <w:r w:rsidRPr="00023C0C">
        <w:t>Reduced need for dynamic resource allocation.</w:t>
      </w:r>
    </w:p>
    <w:p w14:paraId="111D4C41" w14:textId="47896257" w:rsidR="00023C0C" w:rsidRDefault="00023C0C" w:rsidP="00023C0C">
      <w:pPr>
        <w:pStyle w:val="RAN4observation0"/>
      </w:pPr>
      <w:bookmarkStart w:id="6" w:name="_Ref47533850"/>
      <w:r>
        <w:t xml:space="preserve">The behavior of IAB-node BH links </w:t>
      </w:r>
      <w:r w:rsidR="000748B7">
        <w:t>is</w:t>
      </w:r>
      <w:r>
        <w:t xml:space="preserve"> much more predictable</w:t>
      </w:r>
      <w:r w:rsidR="000748B7">
        <w:t>,</w:t>
      </w:r>
      <w:r>
        <w:t xml:space="preserve"> and</w:t>
      </w:r>
      <w:r w:rsidR="00D50FF3">
        <w:t xml:space="preserve"> BH resource allocation is</w:t>
      </w:r>
      <w:r>
        <w:t xml:space="preserve"> less dynamic than in traditional RAN scenarios.</w:t>
      </w:r>
      <w:bookmarkEnd w:id="6"/>
    </w:p>
    <w:p w14:paraId="70D79F63" w14:textId="52C782B9" w:rsidR="00023C0C" w:rsidRDefault="00293221" w:rsidP="00023C0C">
      <w:pPr>
        <w:pStyle w:val="RAN4proposal"/>
      </w:pPr>
      <w:bookmarkStart w:id="7" w:name="_Ref47533852"/>
      <w:r>
        <w:t xml:space="preserve">RAN4 to consider </w:t>
      </w:r>
      <w:r w:rsidR="00C57077">
        <w:t>t</w:t>
      </w:r>
      <w:r w:rsidR="00023C0C">
        <w:t>he</w:t>
      </w:r>
      <w:r w:rsidR="00B3210F">
        <w:t xml:space="preserve"> simplification</w:t>
      </w:r>
      <w:r w:rsidR="00020859">
        <w:t xml:space="preserve"> of </w:t>
      </w:r>
      <w:r w:rsidR="00B952FB">
        <w:t>BS de</w:t>
      </w:r>
      <w:r w:rsidR="0067527A">
        <w:t>modulation requirements to accommodate</w:t>
      </w:r>
      <w:r w:rsidR="009E4CCF">
        <w:rPr>
          <w:lang w:val="en-GB"/>
        </w:rPr>
        <w:t xml:space="preserve"> simplified</w:t>
      </w:r>
      <w:r w:rsidR="00B3210F">
        <w:t xml:space="preserve"> </w:t>
      </w:r>
      <w:r w:rsidR="00023C0C">
        <w:t>IAB-node</w:t>
      </w:r>
      <w:r w:rsidR="00993CFA">
        <w:t xml:space="preserve"> </w:t>
      </w:r>
      <w:r w:rsidR="00F521A6">
        <w:t>deployment scenarios</w:t>
      </w:r>
      <w:r w:rsidR="00075D50">
        <w:t>.</w:t>
      </w:r>
      <w:bookmarkEnd w:id="7"/>
    </w:p>
    <w:p w14:paraId="39836854" w14:textId="510AC8B6" w:rsidR="00020859" w:rsidRPr="00020859" w:rsidRDefault="00020859" w:rsidP="00020859">
      <w:pPr>
        <w:pStyle w:val="RAN4proposal"/>
      </w:pPr>
      <w:bookmarkStart w:id="8" w:name="_Ref47545896"/>
      <w:r>
        <w:t>RAN4 to consider applicability rules to reduce the number of test</w:t>
      </w:r>
      <w:r w:rsidR="004D4BD2">
        <w:t>s</w:t>
      </w:r>
      <w:r>
        <w:t xml:space="preserve"> </w:t>
      </w:r>
      <w:r w:rsidR="00283283">
        <w:t>used</w:t>
      </w:r>
      <w:r>
        <w:t xml:space="preserve"> </w:t>
      </w:r>
      <w:r w:rsidR="00283283">
        <w:t>for</w:t>
      </w:r>
      <w:r>
        <w:t xml:space="preserve"> IAB-nodes.</w:t>
      </w:r>
      <w:bookmarkEnd w:id="8"/>
    </w:p>
    <w:p w14:paraId="166A8EEF" w14:textId="07D95BA6" w:rsidR="003B659E" w:rsidRDefault="00F521A6" w:rsidP="00AE56B1">
      <w:pPr>
        <w:pStyle w:val="RAN4H1"/>
      </w:pPr>
      <w:r>
        <w:t>Applicability</w:t>
      </w:r>
      <w:r w:rsidR="0025633A">
        <w:t xml:space="preserve"> of </w:t>
      </w:r>
      <w:r w:rsidR="006604EC">
        <w:t>BS performance requirements</w:t>
      </w:r>
      <w:r w:rsidR="0025633A">
        <w:t xml:space="preserve"> for IAB-nodes</w:t>
      </w:r>
    </w:p>
    <w:p w14:paraId="149E68E1" w14:textId="6F4B7316" w:rsidR="005E51CC" w:rsidRDefault="005E51CC" w:rsidP="005E51CC">
      <w:r>
        <w:t xml:space="preserve">BS performance requirements that specify the ability of BS to correctly demodulate signals in various conditions and configurations are specified in </w:t>
      </w:r>
      <w:r w:rsidR="00F31FD3">
        <w:t xml:space="preserve">3GPP </w:t>
      </w:r>
      <w:r>
        <w:t>TS 38.104. The specifications include test parameters and minimum required performance.</w:t>
      </w:r>
    </w:p>
    <w:p w14:paraId="2C8FEA45" w14:textId="69BBAE91" w:rsidR="00A37163" w:rsidRDefault="005E51CC" w:rsidP="005E51CC">
      <w:r>
        <w:lastRenderedPageBreak/>
        <w:t>BS performance requirements are separated into Conducted (</w:t>
      </w:r>
      <w:r w:rsidR="009B0852">
        <w:t>S</w:t>
      </w:r>
      <w:r>
        <w:t>ection 8) and Radiated performance requirements (Section 11).</w:t>
      </w:r>
    </w:p>
    <w:p w14:paraId="194C3E8B" w14:textId="09E21D29" w:rsidR="005E51CC" w:rsidRPr="002C5CD6" w:rsidRDefault="005E51CC" w:rsidP="005E51CC">
      <w:r>
        <w:t>The scope of BS performance requirements is summarised below:</w:t>
      </w:r>
    </w:p>
    <w:p w14:paraId="1D0822BB" w14:textId="77777777" w:rsidR="005E51CC" w:rsidRPr="005C4269" w:rsidRDefault="005E51CC" w:rsidP="00F214C6">
      <w:pPr>
        <w:pStyle w:val="ListParagraph"/>
        <w:numPr>
          <w:ilvl w:val="0"/>
          <w:numId w:val="15"/>
        </w:numPr>
      </w:pPr>
      <w:r>
        <w:t>Performance requirements for PUSCH</w:t>
      </w:r>
    </w:p>
    <w:p w14:paraId="5C29174E" w14:textId="77777777" w:rsidR="005E51CC" w:rsidRPr="005C4269" w:rsidRDefault="005E51CC" w:rsidP="00F214C6">
      <w:pPr>
        <w:pStyle w:val="ListParagraph"/>
        <w:numPr>
          <w:ilvl w:val="1"/>
          <w:numId w:val="15"/>
        </w:numPr>
      </w:pPr>
      <w:r>
        <w:t>PUSCH performance with/without transform precoding</w:t>
      </w:r>
    </w:p>
    <w:p w14:paraId="2F6FEE18" w14:textId="77777777" w:rsidR="005E51CC" w:rsidRDefault="005E51CC" w:rsidP="00F214C6">
      <w:pPr>
        <w:pStyle w:val="ListParagraph"/>
        <w:numPr>
          <w:ilvl w:val="2"/>
          <w:numId w:val="15"/>
        </w:numPr>
      </w:pPr>
      <w:r>
        <w:t>Minimum requirement: achieving 70% of maximum throughput at a given SNR.</w:t>
      </w:r>
    </w:p>
    <w:p w14:paraId="740DD1A0" w14:textId="77777777" w:rsidR="005E51CC" w:rsidRPr="005C4269" w:rsidRDefault="005E51CC" w:rsidP="00F214C6">
      <w:pPr>
        <w:pStyle w:val="ListParagraph"/>
        <w:numPr>
          <w:ilvl w:val="1"/>
          <w:numId w:val="15"/>
        </w:numPr>
      </w:pPr>
      <w:r>
        <w:t>UCI performance multiplexed on PUSCH</w:t>
      </w:r>
    </w:p>
    <w:p w14:paraId="512FEF32" w14:textId="7BBD17D7" w:rsidR="005E51CC" w:rsidRDefault="005E51CC" w:rsidP="00F214C6">
      <w:pPr>
        <w:pStyle w:val="ListParagraph"/>
        <w:numPr>
          <w:ilvl w:val="2"/>
          <w:numId w:val="15"/>
        </w:numPr>
      </w:pPr>
      <w:r>
        <w:t>Minimum requirement: CSI BLE</w:t>
      </w:r>
      <w:r w:rsidR="00CA1B69">
        <w:t>R</w:t>
      </w:r>
      <w:r>
        <w:t xml:space="preserve"> should not exceed 0.1% at a given SINR, separately for C</w:t>
      </w:r>
      <w:r w:rsidR="00CA1B69">
        <w:t>S</w:t>
      </w:r>
      <w:r>
        <w:t>I part 1 and part 2</w:t>
      </w:r>
    </w:p>
    <w:p w14:paraId="36F8259C" w14:textId="77777777" w:rsidR="005E51CC" w:rsidRPr="005C4269" w:rsidRDefault="005E51CC" w:rsidP="00F214C6">
      <w:pPr>
        <w:pStyle w:val="ListParagraph"/>
        <w:numPr>
          <w:ilvl w:val="1"/>
          <w:numId w:val="15"/>
        </w:numPr>
      </w:pPr>
      <w:r>
        <w:t>PUSCH performance in HST scenario:</w:t>
      </w:r>
    </w:p>
    <w:p w14:paraId="68C7A058" w14:textId="77777777" w:rsidR="005E51CC" w:rsidRPr="00F15186" w:rsidRDefault="005E51CC" w:rsidP="00F214C6">
      <w:pPr>
        <w:pStyle w:val="ListParagraph"/>
        <w:numPr>
          <w:ilvl w:val="2"/>
          <w:numId w:val="15"/>
        </w:numPr>
        <w:rPr>
          <w:b/>
          <w:bCs/>
        </w:rPr>
      </w:pPr>
      <w:r w:rsidRPr="00F15186">
        <w:rPr>
          <w:b/>
          <w:bCs/>
        </w:rPr>
        <w:t>Not applicable for IAB Rel 16.</w:t>
      </w:r>
    </w:p>
    <w:p w14:paraId="4D5F4588" w14:textId="77777777" w:rsidR="005E51CC" w:rsidRDefault="005E51CC" w:rsidP="00F214C6">
      <w:pPr>
        <w:pStyle w:val="ListParagraph"/>
        <w:numPr>
          <w:ilvl w:val="1"/>
          <w:numId w:val="15"/>
        </w:numPr>
      </w:pPr>
      <w:r w:rsidRPr="00770F73">
        <w:t>Requirements for UL timing adjustment</w:t>
      </w:r>
    </w:p>
    <w:p w14:paraId="5AFB4C05" w14:textId="77777777" w:rsidR="005E51CC" w:rsidRDefault="005E51CC" w:rsidP="00F214C6">
      <w:pPr>
        <w:pStyle w:val="ListParagraph"/>
        <w:numPr>
          <w:ilvl w:val="2"/>
          <w:numId w:val="15"/>
        </w:numPr>
      </w:pPr>
      <w:r w:rsidRPr="00770F73">
        <w:t>The performance requirement of UL timing adjustment is determined by a minimum required throughput for the moving UE at</w:t>
      </w:r>
      <w:r>
        <w:t xml:space="preserve"> a</w:t>
      </w:r>
      <w:r w:rsidRPr="00770F73">
        <w:t xml:space="preserve"> given SNR</w:t>
      </w:r>
    </w:p>
    <w:p w14:paraId="75A03EF2" w14:textId="425D99F5" w:rsidR="005E51CC" w:rsidRPr="00F15186" w:rsidRDefault="005E51CC" w:rsidP="00F214C6">
      <w:pPr>
        <w:pStyle w:val="ListParagraph"/>
        <w:numPr>
          <w:ilvl w:val="2"/>
          <w:numId w:val="15"/>
        </w:numPr>
        <w:rPr>
          <w:b/>
          <w:bCs/>
        </w:rPr>
      </w:pPr>
      <w:r w:rsidRPr="00F15186">
        <w:rPr>
          <w:b/>
          <w:bCs/>
        </w:rPr>
        <w:t xml:space="preserve">Optional, not relevant due to the absence of mobility in </w:t>
      </w:r>
      <w:r w:rsidR="00BF7CBE">
        <w:rPr>
          <w:b/>
          <w:bCs/>
        </w:rPr>
        <w:t xml:space="preserve">the NR </w:t>
      </w:r>
      <w:r w:rsidRPr="00F15186">
        <w:rPr>
          <w:b/>
          <w:bCs/>
        </w:rPr>
        <w:t>IAB Rel. 16</w:t>
      </w:r>
      <w:r w:rsidR="00BF7CBE">
        <w:rPr>
          <w:b/>
          <w:bCs/>
        </w:rPr>
        <w:t xml:space="preserve"> BH links</w:t>
      </w:r>
      <w:r w:rsidRPr="00F15186">
        <w:rPr>
          <w:b/>
          <w:bCs/>
        </w:rPr>
        <w:t>.</w:t>
      </w:r>
    </w:p>
    <w:p w14:paraId="1F9BAFAB" w14:textId="77777777" w:rsidR="005E51CC" w:rsidRDefault="005E51CC" w:rsidP="00F214C6">
      <w:pPr>
        <w:pStyle w:val="ListParagraph"/>
        <w:numPr>
          <w:ilvl w:val="0"/>
          <w:numId w:val="15"/>
        </w:numPr>
      </w:pPr>
      <w:r>
        <w:t>Performance requirements for PUCCH</w:t>
      </w:r>
    </w:p>
    <w:p w14:paraId="32AF0060" w14:textId="77777777" w:rsidR="005E51CC" w:rsidRPr="00BE4573" w:rsidRDefault="005E51CC" w:rsidP="00F214C6">
      <w:pPr>
        <w:pStyle w:val="ListParagraph"/>
        <w:numPr>
          <w:ilvl w:val="1"/>
          <w:numId w:val="15"/>
        </w:numPr>
      </w:pPr>
      <w:r>
        <w:t>General minimum requirement:</w:t>
      </w:r>
    </w:p>
    <w:p w14:paraId="7EAE20C3" w14:textId="5F0FBA2A" w:rsidR="005E51CC" w:rsidRDefault="005E51CC" w:rsidP="00F214C6">
      <w:pPr>
        <w:pStyle w:val="ListParagraph"/>
        <w:numPr>
          <w:ilvl w:val="2"/>
          <w:numId w:val="15"/>
        </w:numPr>
      </w:pPr>
      <w:r>
        <w:t xml:space="preserve">DTX to ACK probability: </w:t>
      </w:r>
      <w:r w:rsidRPr="002A6E10">
        <w:t>The DTX to ACK probability</w:t>
      </w:r>
      <w:r>
        <w:t xml:space="preserve"> (i.e.</w:t>
      </w:r>
      <w:r w:rsidR="00900C84">
        <w:t>,</w:t>
      </w:r>
      <w:r>
        <w:t xml:space="preserve"> the probability that ACK is detected when nothing was sent)</w:t>
      </w:r>
      <w:r w:rsidRPr="002A6E10">
        <w:t xml:space="preserve"> shall not exceed 1% for all PUCCH formats carrying ACK/NACK bits</w:t>
      </w:r>
    </w:p>
    <w:p w14:paraId="792BDA63" w14:textId="77777777" w:rsidR="005E51CC" w:rsidRPr="002A6E10" w:rsidRDefault="005E51CC" w:rsidP="00F214C6">
      <w:pPr>
        <w:pStyle w:val="ListParagraph"/>
        <w:numPr>
          <w:ilvl w:val="1"/>
          <w:numId w:val="15"/>
        </w:numPr>
      </w:pPr>
      <w:r>
        <w:t>Separate requirements for PUCCH formats 0 – 4:</w:t>
      </w:r>
    </w:p>
    <w:p w14:paraId="22660A6B" w14:textId="77777777" w:rsidR="005E51CC" w:rsidRPr="00BE4573" w:rsidRDefault="005E51CC" w:rsidP="00F214C6">
      <w:pPr>
        <w:pStyle w:val="ListParagraph"/>
        <w:numPr>
          <w:ilvl w:val="2"/>
          <w:numId w:val="15"/>
        </w:numPr>
      </w:pPr>
      <w:r>
        <w:t>Minimum requirements for format 0:</w:t>
      </w:r>
    </w:p>
    <w:p w14:paraId="3FAA677D" w14:textId="7965D870" w:rsidR="005E51CC" w:rsidRPr="00BE4573" w:rsidRDefault="005E51CC" w:rsidP="00F214C6">
      <w:pPr>
        <w:pStyle w:val="ListParagraph"/>
        <w:numPr>
          <w:ilvl w:val="3"/>
          <w:numId w:val="15"/>
        </w:numPr>
      </w:pPr>
      <w:r w:rsidRPr="002A6E10">
        <w:t>The ACK missed detection</w:t>
      </w:r>
      <w:r>
        <w:t xml:space="preserve"> (i.e.</w:t>
      </w:r>
      <w:r w:rsidR="00900C84">
        <w:t>,</w:t>
      </w:r>
      <w:r>
        <w:t xml:space="preserve"> the probability of not detecting an ACK when an ACK was sent)</w:t>
      </w:r>
      <w:r w:rsidRPr="002A6E10">
        <w:t xml:space="preserve"> probability shall not exceed 1% at </w:t>
      </w:r>
      <w:r>
        <w:t>a</w:t>
      </w:r>
      <w:r w:rsidRPr="002A6E10">
        <w:t xml:space="preserve"> </w:t>
      </w:r>
      <w:r>
        <w:t xml:space="preserve">given </w:t>
      </w:r>
      <w:r w:rsidRPr="002A6E10">
        <w:t>SNR</w:t>
      </w:r>
    </w:p>
    <w:p w14:paraId="0750FE3B" w14:textId="77777777" w:rsidR="005E51CC" w:rsidRPr="00BE4573" w:rsidRDefault="005E51CC" w:rsidP="00F214C6">
      <w:pPr>
        <w:pStyle w:val="ListParagraph"/>
        <w:numPr>
          <w:ilvl w:val="2"/>
          <w:numId w:val="15"/>
        </w:numPr>
      </w:pPr>
      <w:r>
        <w:t>Minimum requirements for format 1:</w:t>
      </w:r>
    </w:p>
    <w:p w14:paraId="4935CC6A" w14:textId="07EBD5ED" w:rsidR="005E51CC" w:rsidRPr="00BE4573" w:rsidRDefault="005E51CC" w:rsidP="00F214C6">
      <w:pPr>
        <w:pStyle w:val="ListParagraph"/>
        <w:numPr>
          <w:ilvl w:val="3"/>
          <w:numId w:val="15"/>
        </w:numPr>
      </w:pPr>
      <w:r>
        <w:t xml:space="preserve">NACK to ACK requirements: </w:t>
      </w:r>
      <w:r w:rsidRPr="00BE4573">
        <w:t>The NACK to ACK probability</w:t>
      </w:r>
      <w:r>
        <w:t xml:space="preserve"> (i.e.</w:t>
      </w:r>
      <w:r w:rsidR="00900C84">
        <w:t>,</w:t>
      </w:r>
      <w:r>
        <w:t xml:space="preserve"> t</w:t>
      </w:r>
      <w:r w:rsidRPr="00BE4573">
        <w:t>he NACK to ACK detection probability is the probability that an ACK bit is falsely detected when a NACK bit was sent on the particular bit position</w:t>
      </w:r>
      <w:r>
        <w:t>)</w:t>
      </w:r>
      <w:r w:rsidRPr="00BE4573">
        <w:t xml:space="preserve"> shall not exceed 0.1% at </w:t>
      </w:r>
      <w:r>
        <w:t>a given</w:t>
      </w:r>
      <w:r w:rsidRPr="00BE4573">
        <w:t xml:space="preserve"> SNR</w:t>
      </w:r>
      <w:r>
        <w:t>.</w:t>
      </w:r>
    </w:p>
    <w:p w14:paraId="2FEFD414" w14:textId="7D7AA130" w:rsidR="005E51CC" w:rsidRPr="00BE4573" w:rsidRDefault="005E51CC" w:rsidP="00F214C6">
      <w:pPr>
        <w:pStyle w:val="ListParagraph"/>
        <w:numPr>
          <w:ilvl w:val="3"/>
          <w:numId w:val="15"/>
        </w:numPr>
      </w:pPr>
      <w:r w:rsidRPr="00BE4573">
        <w:t>ACK missed detection requirements</w:t>
      </w:r>
      <w:r>
        <w:t xml:space="preserve">: </w:t>
      </w:r>
      <w:r w:rsidRPr="00BE4573">
        <w:t>The ACK missed detection probability</w:t>
      </w:r>
      <w:r>
        <w:t xml:space="preserve"> (i.e.</w:t>
      </w:r>
      <w:r w:rsidR="00900C84">
        <w:t>,</w:t>
      </w:r>
      <w:r>
        <w:t xml:space="preserve"> probability of not detecting an ACK when an ACK was sent)</w:t>
      </w:r>
      <w:r w:rsidRPr="00BE4573">
        <w:t xml:space="preserve"> shall not exceed 1% at </w:t>
      </w:r>
      <w:r>
        <w:t>a given</w:t>
      </w:r>
      <w:r w:rsidRPr="00BE4573">
        <w:t xml:space="preserve"> SNR</w:t>
      </w:r>
      <w:r>
        <w:t>.</w:t>
      </w:r>
    </w:p>
    <w:p w14:paraId="1EA7C761" w14:textId="77777777" w:rsidR="005E51CC" w:rsidRPr="00BE4573" w:rsidRDefault="005E51CC" w:rsidP="00F214C6">
      <w:pPr>
        <w:pStyle w:val="ListParagraph"/>
        <w:numPr>
          <w:ilvl w:val="2"/>
          <w:numId w:val="15"/>
        </w:numPr>
      </w:pPr>
      <w:r>
        <w:t>Minimum requirements for format 2:</w:t>
      </w:r>
    </w:p>
    <w:p w14:paraId="25988BFD" w14:textId="77777777" w:rsidR="005E51CC" w:rsidRPr="00BE4573" w:rsidRDefault="005E51CC" w:rsidP="00F214C6">
      <w:pPr>
        <w:pStyle w:val="ListParagraph"/>
        <w:numPr>
          <w:ilvl w:val="3"/>
          <w:numId w:val="15"/>
        </w:numPr>
      </w:pPr>
      <w:r w:rsidRPr="00BE4573">
        <w:t>ACK missed detection requirements</w:t>
      </w:r>
      <w:r>
        <w:t xml:space="preserve">: </w:t>
      </w:r>
      <w:r w:rsidRPr="00BE4573">
        <w:t xml:space="preserve">The ACK missed detection probability shall not exceed 1% at </w:t>
      </w:r>
      <w:r>
        <w:t>a given</w:t>
      </w:r>
      <w:r w:rsidRPr="00BE4573">
        <w:t xml:space="preserve"> SNR</w:t>
      </w:r>
      <w:r>
        <w:t>.</w:t>
      </w:r>
    </w:p>
    <w:p w14:paraId="683F21C7" w14:textId="6486A233" w:rsidR="005E51CC" w:rsidRPr="00BE4573" w:rsidRDefault="005E51CC" w:rsidP="00F214C6">
      <w:pPr>
        <w:pStyle w:val="ListParagraph"/>
        <w:numPr>
          <w:ilvl w:val="3"/>
          <w:numId w:val="15"/>
        </w:numPr>
      </w:pPr>
      <w:r w:rsidRPr="00BE4573">
        <w:t>UCI BLER performance requirements</w:t>
      </w:r>
      <w:r>
        <w:t xml:space="preserve">: </w:t>
      </w:r>
      <w:r w:rsidRPr="00BE4573">
        <w:t>The UCI block error probability</w:t>
      </w:r>
      <w:r>
        <w:t xml:space="preserve"> (BLER) (</w:t>
      </w:r>
      <w:r>
        <w:rPr>
          <w:lang w:eastAsia="zh-CN"/>
        </w:rPr>
        <w:t>i.e.</w:t>
      </w:r>
      <w:r w:rsidR="00900C84">
        <w:rPr>
          <w:lang w:eastAsia="zh-CN"/>
        </w:rPr>
        <w:t>,</w:t>
      </w:r>
      <w:r>
        <w:rPr>
          <w:lang w:eastAsia="zh-CN"/>
        </w:rPr>
        <w:t xml:space="preserve"> the probability of incorrectly decoding the UCI information when the UCI information is sent</w:t>
      </w:r>
      <w:r>
        <w:t>)</w:t>
      </w:r>
      <w:r w:rsidRPr="00BE4573">
        <w:t xml:space="preserve"> shall not exceed 1% at the SNR</w:t>
      </w:r>
    </w:p>
    <w:p w14:paraId="58FFCA53" w14:textId="77777777" w:rsidR="005E51CC" w:rsidRPr="00BE4573" w:rsidRDefault="005E51CC" w:rsidP="00F214C6">
      <w:pPr>
        <w:pStyle w:val="ListParagraph"/>
        <w:numPr>
          <w:ilvl w:val="2"/>
          <w:numId w:val="15"/>
        </w:numPr>
      </w:pPr>
      <w:r>
        <w:t>Minimum requirements for format 3 and 4:</w:t>
      </w:r>
    </w:p>
    <w:p w14:paraId="6801B5BB" w14:textId="77777777" w:rsidR="005E51CC" w:rsidRPr="005E0516" w:rsidRDefault="005E51CC" w:rsidP="00F214C6">
      <w:pPr>
        <w:pStyle w:val="ListParagraph"/>
        <w:numPr>
          <w:ilvl w:val="3"/>
          <w:numId w:val="15"/>
        </w:numPr>
      </w:pPr>
      <w:r w:rsidRPr="00BE4573">
        <w:t>UCI BLER performance requirements</w:t>
      </w:r>
      <w:r>
        <w:t>: The UCI block error probability shall not exceed 1% at a given SNR.</w:t>
      </w:r>
    </w:p>
    <w:p w14:paraId="24A5B023" w14:textId="77777777" w:rsidR="005E51CC" w:rsidRPr="005E0516" w:rsidRDefault="005E51CC" w:rsidP="00F214C6">
      <w:pPr>
        <w:pStyle w:val="ListParagraph"/>
        <w:numPr>
          <w:ilvl w:val="1"/>
          <w:numId w:val="15"/>
        </w:numPr>
      </w:pPr>
      <w:r w:rsidRPr="005E0516">
        <w:t>Performance requirements for multi-slot PUCCH</w:t>
      </w:r>
      <w:r>
        <w:t xml:space="preserve"> format 1:</w:t>
      </w:r>
    </w:p>
    <w:p w14:paraId="0362E318" w14:textId="77777777" w:rsidR="005E51CC" w:rsidRPr="005E0516" w:rsidRDefault="005E51CC" w:rsidP="00F214C6">
      <w:pPr>
        <w:pStyle w:val="ListParagraph"/>
        <w:numPr>
          <w:ilvl w:val="2"/>
          <w:numId w:val="15"/>
        </w:numPr>
      </w:pPr>
      <w:r>
        <w:t>Minimum NACK to ACK requirements</w:t>
      </w:r>
      <w:r w:rsidRPr="005E0516">
        <w:t>: The multi-slot NACK to ACK probability shall not exceed 0.1% at a given SNR.</w:t>
      </w:r>
    </w:p>
    <w:p w14:paraId="03AEC1ED" w14:textId="77777777" w:rsidR="005E51CC" w:rsidRPr="005E0516" w:rsidRDefault="005E51CC" w:rsidP="00F214C6">
      <w:pPr>
        <w:pStyle w:val="ListParagraph"/>
        <w:numPr>
          <w:ilvl w:val="2"/>
          <w:numId w:val="15"/>
        </w:numPr>
      </w:pPr>
      <w:r>
        <w:t xml:space="preserve">Minimum </w:t>
      </w:r>
      <w:r w:rsidRPr="005E0516">
        <w:t>ACK missed detection requirements</w:t>
      </w:r>
      <w:r>
        <w:t xml:space="preserve">: </w:t>
      </w:r>
      <w:r w:rsidRPr="005E0516">
        <w:t xml:space="preserve">The multi-slot ACK missed detection probability shall not exceed 1% at </w:t>
      </w:r>
      <w:r>
        <w:t>a given</w:t>
      </w:r>
      <w:r w:rsidRPr="005E0516">
        <w:t xml:space="preserve"> SNR</w:t>
      </w:r>
      <w:r>
        <w:t>.</w:t>
      </w:r>
    </w:p>
    <w:p w14:paraId="62524908" w14:textId="77777777" w:rsidR="005E51CC" w:rsidRPr="00612000" w:rsidRDefault="005E51CC" w:rsidP="00F214C6">
      <w:pPr>
        <w:pStyle w:val="ListParagraph"/>
        <w:numPr>
          <w:ilvl w:val="0"/>
          <w:numId w:val="15"/>
        </w:numPr>
      </w:pPr>
      <w:r>
        <w:t>Performance requirements for PRACH:</w:t>
      </w:r>
    </w:p>
    <w:p w14:paraId="09C8B0FE" w14:textId="577B19A1" w:rsidR="005E51CC" w:rsidRPr="00612000" w:rsidRDefault="005E51CC" w:rsidP="00F214C6">
      <w:pPr>
        <w:pStyle w:val="ListParagraph"/>
        <w:numPr>
          <w:ilvl w:val="1"/>
          <w:numId w:val="15"/>
        </w:numPr>
      </w:pPr>
      <w:r w:rsidRPr="00612000">
        <w:t>Minimum requirement on PRACH False alarm probability: The false alarm probability (i.e.</w:t>
      </w:r>
      <w:r w:rsidR="004B0B27">
        <w:t>,</w:t>
      </w:r>
      <w:r w:rsidRPr="00612000">
        <w:t xml:space="preserve"> </w:t>
      </w:r>
      <w:r>
        <w:t>the conditional total probability of erroneous detection of the preamble (i.e.</w:t>
      </w:r>
      <w:r w:rsidR="004B0B27">
        <w:t>,</w:t>
      </w:r>
      <w:r>
        <w:t xml:space="preserve"> erroneous detection from any detector) when input is only noise</w:t>
      </w:r>
      <w:r w:rsidRPr="00612000">
        <w:t>) shall be less than or equal to 0.1%.</w:t>
      </w:r>
    </w:p>
    <w:p w14:paraId="733AC820" w14:textId="77777777" w:rsidR="005E51CC" w:rsidRPr="005E0516" w:rsidRDefault="005E51CC" w:rsidP="00F214C6">
      <w:pPr>
        <w:pStyle w:val="ListParagraph"/>
        <w:numPr>
          <w:ilvl w:val="1"/>
          <w:numId w:val="15"/>
        </w:numPr>
      </w:pPr>
      <w:r>
        <w:t>PRACH detection requirements:</w:t>
      </w:r>
    </w:p>
    <w:p w14:paraId="311C7B3F" w14:textId="77777777" w:rsidR="005E51CC" w:rsidRPr="005E0516" w:rsidRDefault="005E51CC" w:rsidP="00F214C6">
      <w:pPr>
        <w:pStyle w:val="ListParagraph"/>
        <w:numPr>
          <w:ilvl w:val="2"/>
          <w:numId w:val="15"/>
        </w:numPr>
      </w:pPr>
      <w:r>
        <w:rPr>
          <w:lang w:eastAsia="zh-CN"/>
        </w:rPr>
        <w:t xml:space="preserve">Time error tolerance: </w:t>
      </w:r>
      <w:r w:rsidRPr="005E0516">
        <w:rPr>
          <w:lang w:eastAsia="zh-CN"/>
        </w:rPr>
        <w:t>For AWGN and TDLC300-100, a timing estimation error occurs if the estimation error of the timing of the strongest path is larger than the time error tolerance given</w:t>
      </w:r>
      <w:r>
        <w:rPr>
          <w:lang w:eastAsia="zh-CN"/>
        </w:rPr>
        <w:t>.</w:t>
      </w:r>
    </w:p>
    <w:p w14:paraId="2CB0F109" w14:textId="28931BCC" w:rsidR="005E51CC" w:rsidRPr="00612000" w:rsidRDefault="005E51CC" w:rsidP="00F214C6">
      <w:pPr>
        <w:pStyle w:val="ListParagraph"/>
        <w:numPr>
          <w:ilvl w:val="2"/>
          <w:numId w:val="15"/>
        </w:numPr>
      </w:pPr>
      <w:r w:rsidRPr="005E0516">
        <w:lastRenderedPageBreak/>
        <w:t>Minimum requirements for Normal Mode</w:t>
      </w:r>
      <w:r>
        <w:t xml:space="preserve">: </w:t>
      </w:r>
      <w:r w:rsidRPr="00612000">
        <w:t>The probability of detection (i.e.</w:t>
      </w:r>
      <w:r w:rsidR="004B0B27">
        <w:t>,</w:t>
      </w:r>
      <w:r w:rsidRPr="00612000">
        <w:t xml:space="preserve"> </w:t>
      </w:r>
      <w:r>
        <w:t>the conditional probability of correct detection of the preamble when the signal is present</w:t>
      </w:r>
      <w:r w:rsidRPr="00612000">
        <w:t>) shall be equal to or exceed 99% for a given SNR.</w:t>
      </w:r>
    </w:p>
    <w:p w14:paraId="1B1BB53F" w14:textId="3D1EBB99" w:rsidR="005E51CC" w:rsidRPr="002F29EB" w:rsidRDefault="005E51CC" w:rsidP="00F214C6">
      <w:pPr>
        <w:pStyle w:val="ListParagraph"/>
        <w:numPr>
          <w:ilvl w:val="2"/>
          <w:numId w:val="15"/>
        </w:numPr>
      </w:pPr>
      <w:r>
        <w:rPr>
          <w:rFonts w:eastAsia="Malgun Gothic"/>
        </w:rPr>
        <w:t>Minimum requirements for high</w:t>
      </w:r>
      <w:r w:rsidR="00900C84">
        <w:rPr>
          <w:rFonts w:eastAsia="Malgun Gothic"/>
        </w:rPr>
        <w:t>-</w:t>
      </w:r>
      <w:r>
        <w:rPr>
          <w:rFonts w:eastAsia="Malgun Gothic"/>
        </w:rPr>
        <w:t>speed train</w:t>
      </w:r>
    </w:p>
    <w:p w14:paraId="79C1B261" w14:textId="18A78114" w:rsidR="00A37163" w:rsidRPr="00321E4B" w:rsidRDefault="005E51CC" w:rsidP="00F214C6">
      <w:pPr>
        <w:pStyle w:val="ListParagraph"/>
        <w:numPr>
          <w:ilvl w:val="3"/>
          <w:numId w:val="15"/>
        </w:numPr>
        <w:rPr>
          <w:b/>
          <w:bCs/>
        </w:rPr>
      </w:pPr>
      <w:r w:rsidRPr="00F15186">
        <w:rPr>
          <w:rFonts w:eastAsia="Malgun Gothic"/>
          <w:b/>
          <w:bCs/>
        </w:rPr>
        <w:t>Optional and not applicable for IAB Rel. 16.</w:t>
      </w:r>
    </w:p>
    <w:p w14:paraId="042628B6" w14:textId="4614C719" w:rsidR="00925E53" w:rsidRDefault="00925E53" w:rsidP="00321E4B">
      <w:r>
        <w:t>Depending on the test, t</w:t>
      </w:r>
      <w:r w:rsidR="00321E4B">
        <w:t>he minimum requirements are formulated</w:t>
      </w:r>
      <w:r>
        <w:t>:</w:t>
      </w:r>
    </w:p>
    <w:p w14:paraId="00043DFC" w14:textId="4FE9C2D9" w:rsidR="00925E53" w:rsidRDefault="00925E53" w:rsidP="00F214C6">
      <w:pPr>
        <w:pStyle w:val="ListParagraph"/>
        <w:numPr>
          <w:ilvl w:val="0"/>
          <w:numId w:val="16"/>
        </w:numPr>
      </w:pPr>
      <w:r>
        <w:t>for 1 or 2 TX antennas,</w:t>
      </w:r>
    </w:p>
    <w:p w14:paraId="4CF81558" w14:textId="7D9867C2" w:rsidR="00925E53" w:rsidRDefault="00321E4B" w:rsidP="00F214C6">
      <w:pPr>
        <w:pStyle w:val="ListParagraph"/>
        <w:numPr>
          <w:ilvl w:val="0"/>
          <w:numId w:val="16"/>
        </w:numPr>
      </w:pPr>
      <w:r w:rsidRPr="00925E53">
        <w:t>for 2, 4, and 8 RX antennas (conducted)</w:t>
      </w:r>
      <w:r w:rsidR="00925E53">
        <w:t>,</w:t>
      </w:r>
      <w:r w:rsidR="00B00312">
        <w:t xml:space="preserve"> for 1 or 2 demodulation branches (radiated)</w:t>
      </w:r>
      <w:r w:rsidR="00EE6D4B">
        <w:rPr>
          <w:lang w:val="en-GB"/>
        </w:rPr>
        <w:t>,</w:t>
      </w:r>
    </w:p>
    <w:p w14:paraId="6D0FAC70" w14:textId="1D1F34FD" w:rsidR="00321E4B" w:rsidRDefault="00925E53" w:rsidP="00F214C6">
      <w:pPr>
        <w:pStyle w:val="ListParagraph"/>
        <w:numPr>
          <w:ilvl w:val="0"/>
          <w:numId w:val="16"/>
        </w:numPr>
      </w:pPr>
      <w:r>
        <w:t xml:space="preserve">in </w:t>
      </w:r>
      <w:r w:rsidR="00321E4B" w:rsidRPr="00925E53">
        <w:t>different propagation conditions and with corresponding Fixed Reference Channel</w:t>
      </w:r>
      <w:r w:rsidR="00B00312">
        <w:t>s</w:t>
      </w:r>
      <w:r w:rsidR="00321E4B" w:rsidRPr="00925E53">
        <w:t xml:space="preserve"> (FRC)</w:t>
      </w:r>
      <w:r>
        <w:t>,</w:t>
      </w:r>
    </w:p>
    <w:p w14:paraId="2ED4431E" w14:textId="26C8BA1B" w:rsidR="00925E53" w:rsidRDefault="00925E53" w:rsidP="00F214C6">
      <w:pPr>
        <w:pStyle w:val="ListParagraph"/>
        <w:numPr>
          <w:ilvl w:val="0"/>
          <w:numId w:val="16"/>
        </w:numPr>
      </w:pPr>
      <w:r>
        <w:t>for 5, 10, 20, 40, 100 (conducted)</w:t>
      </w:r>
      <w:r w:rsidR="00D33939">
        <w:t>, and 50, 100, 200</w:t>
      </w:r>
      <w:r w:rsidR="00B00312">
        <w:t xml:space="preserve"> (radiated)</w:t>
      </w:r>
      <w:r w:rsidR="00D33939">
        <w:t xml:space="preserve"> </w:t>
      </w:r>
      <w:r>
        <w:t>MHz BW</w:t>
      </w:r>
      <w:r w:rsidR="00EE6D4B">
        <w:rPr>
          <w:lang w:val="en-GB"/>
        </w:rPr>
        <w:t>,</w:t>
      </w:r>
    </w:p>
    <w:p w14:paraId="45EB9F35" w14:textId="43200BEE" w:rsidR="00925E53" w:rsidRPr="00925E53" w:rsidRDefault="00925E53" w:rsidP="00F214C6">
      <w:pPr>
        <w:pStyle w:val="ListParagraph"/>
        <w:numPr>
          <w:ilvl w:val="0"/>
          <w:numId w:val="16"/>
        </w:numPr>
      </w:pPr>
      <w:r>
        <w:t>for 15, 30 kHz SCS</w:t>
      </w:r>
      <w:r w:rsidR="00D33939">
        <w:t xml:space="preserve"> (conducted), and 60, 120 kHz SCS (radiated)</w:t>
      </w:r>
      <w:r w:rsidR="00B00312">
        <w:t>.</w:t>
      </w:r>
    </w:p>
    <w:p w14:paraId="13091EAE" w14:textId="7BFD264D" w:rsidR="00A72057" w:rsidRPr="00A72057" w:rsidRDefault="00A72057" w:rsidP="00A72057">
      <w:pPr>
        <w:pStyle w:val="RAN4observation0"/>
      </w:pPr>
      <w:bookmarkStart w:id="9" w:name="_Ref47533857"/>
      <w:r>
        <w:t xml:space="preserve">All </w:t>
      </w:r>
      <w:r w:rsidR="0017533E">
        <w:t>mandatory</w:t>
      </w:r>
      <w:r>
        <w:t xml:space="preserve"> BS demodulation performance requirements are also applicable for IAB-nodes.</w:t>
      </w:r>
      <w:bookmarkEnd w:id="9"/>
    </w:p>
    <w:p w14:paraId="067514B7" w14:textId="2E9E19AE" w:rsidR="005E51CC" w:rsidRPr="00A72057" w:rsidRDefault="005E51CC" w:rsidP="00A72057">
      <w:pPr>
        <w:pStyle w:val="RAN4observation0"/>
      </w:pPr>
      <w:bookmarkStart w:id="10" w:name="_Ref47533859"/>
      <w:r w:rsidRPr="00A72057">
        <w:t>In most BS performance tests</w:t>
      </w:r>
      <w:r w:rsidR="004B0B27">
        <w:t>,</w:t>
      </w:r>
      <w:r w:rsidRPr="00A72057">
        <w:t xml:space="preserve"> the propagation conditions use TDL channel with rather long delay spread and high Doppler frequency assuming UE mobility.</w:t>
      </w:r>
      <w:bookmarkEnd w:id="10"/>
    </w:p>
    <w:p w14:paraId="11991639" w14:textId="53CD4708" w:rsidR="00321E4B" w:rsidRDefault="00A91116" w:rsidP="00321E4B">
      <w:pPr>
        <w:pStyle w:val="RAN4proposal"/>
      </w:pPr>
      <w:bookmarkStart w:id="11" w:name="_Hlk46909154"/>
      <w:r>
        <w:t>Reu</w:t>
      </w:r>
      <w:r w:rsidR="00A72057">
        <w:t>se</w:t>
      </w:r>
      <w:r w:rsidR="005E51CC">
        <w:t xml:space="preserve"> </w:t>
      </w:r>
      <w:r w:rsidR="00A72057">
        <w:t xml:space="preserve">BS performance requirements </w:t>
      </w:r>
      <w:r w:rsidR="005E51CC">
        <w:t xml:space="preserve">with </w:t>
      </w:r>
      <w:r w:rsidR="00DD1C9E">
        <w:t>simplified</w:t>
      </w:r>
      <w:r w:rsidR="00A72057">
        <w:t xml:space="preserve"> propagation</w:t>
      </w:r>
      <w:r w:rsidR="005E51CC">
        <w:t xml:space="preserve"> conditions, e.g.</w:t>
      </w:r>
      <w:r w:rsidR="004B0B27">
        <w:t>,</w:t>
      </w:r>
      <w:r w:rsidR="005E51CC">
        <w:t xml:space="preserve"> </w:t>
      </w:r>
      <w:r w:rsidR="005E51CC" w:rsidRPr="008A2B4E">
        <w:t>TLD</w:t>
      </w:r>
      <w:r w:rsidR="009D16A9">
        <w:t>A</w:t>
      </w:r>
      <w:r w:rsidR="005E51CC">
        <w:t xml:space="preserve"> </w:t>
      </w:r>
      <w:r w:rsidR="005E51CC" w:rsidRPr="008A2B4E">
        <w:t>30-10</w:t>
      </w:r>
      <w:r w:rsidR="009D16A9">
        <w:t xml:space="preserve"> Low, </w:t>
      </w:r>
      <w:r w:rsidR="00A72057">
        <w:t xml:space="preserve">for </w:t>
      </w:r>
      <w:r w:rsidR="009D16A9">
        <w:t>IAB-nodes</w:t>
      </w:r>
      <w:r w:rsidR="005E51CC">
        <w:t>.</w:t>
      </w:r>
      <w:bookmarkEnd w:id="11"/>
    </w:p>
    <w:p w14:paraId="7A6D8E4F" w14:textId="39C39537" w:rsidR="00A72057" w:rsidRDefault="00A72057" w:rsidP="00A72057">
      <w:pPr>
        <w:pStyle w:val="RAN4observation0"/>
      </w:pPr>
      <w:bookmarkStart w:id="12" w:name="_Ref47533862"/>
      <w:r>
        <w:t>Performance requirements on IAB-node with the different number of RX</w:t>
      </w:r>
      <w:r w:rsidR="009D16A9">
        <w:t xml:space="preserve"> an</w:t>
      </w:r>
      <w:r w:rsidR="004B0B27">
        <w:t>d</w:t>
      </w:r>
      <w:r w:rsidR="009D16A9">
        <w:t xml:space="preserve"> TX</w:t>
      </w:r>
      <w:r>
        <w:t xml:space="preserve"> antennas is excessive in IAB context.</w:t>
      </w:r>
      <w:bookmarkEnd w:id="12"/>
    </w:p>
    <w:p w14:paraId="7AD667ED" w14:textId="113F0E2D" w:rsidR="00A72057" w:rsidRDefault="0000186B" w:rsidP="00A72057">
      <w:pPr>
        <w:pStyle w:val="RAN4proposal"/>
      </w:pPr>
      <w:bookmarkStart w:id="13" w:name="_Ref47533864"/>
      <w:r>
        <w:t>Reu</w:t>
      </w:r>
      <w:r w:rsidR="00A72057">
        <w:t>se only BS performance requirements with</w:t>
      </w:r>
      <w:r w:rsidR="009D16A9">
        <w:t xml:space="preserve"> 1 TX and</w:t>
      </w:r>
      <w:r w:rsidR="00A72057">
        <w:t xml:space="preserve"> 2</w:t>
      </w:r>
      <w:r w:rsidR="009D16A9">
        <w:t xml:space="preserve"> </w:t>
      </w:r>
      <w:r w:rsidR="00A72057">
        <w:t>RX antennas for IAB-nodes.</w:t>
      </w:r>
      <w:bookmarkEnd w:id="13"/>
    </w:p>
    <w:p w14:paraId="0F09FFCB" w14:textId="382CF27B" w:rsidR="00311564" w:rsidRDefault="00311564" w:rsidP="00311564">
      <w:pPr>
        <w:pStyle w:val="RAN4observation0"/>
      </w:pPr>
      <w:bookmarkStart w:id="14" w:name="_Ref47612682"/>
      <w:r>
        <w:t xml:space="preserve">If only </w:t>
      </w:r>
      <w:r w:rsidR="00330F82">
        <w:t xml:space="preserve">2RX antennas are used in the </w:t>
      </w:r>
      <w:r w:rsidR="002719A3">
        <w:t>tests,</w:t>
      </w:r>
      <w:r w:rsidR="00330F82">
        <w:t xml:space="preserve"> then </w:t>
      </w:r>
      <w:r w:rsidR="00B66FA8">
        <w:t xml:space="preserve">fixed </w:t>
      </w:r>
      <w:r w:rsidR="00330F82">
        <w:t>identity preco</w:t>
      </w:r>
      <w:r w:rsidR="00E70F49">
        <w:t>der is sufficient</w:t>
      </w:r>
      <w:r w:rsidR="00B66FA8">
        <w:t>.</w:t>
      </w:r>
      <w:bookmarkEnd w:id="14"/>
    </w:p>
    <w:p w14:paraId="2C7A37CD" w14:textId="13C12795" w:rsidR="00B66FA8" w:rsidRDefault="0000186B" w:rsidP="00B66FA8">
      <w:pPr>
        <w:pStyle w:val="RAN4proposal"/>
      </w:pPr>
      <w:bookmarkStart w:id="15" w:name="_Ref47612684"/>
      <w:r>
        <w:t>Reu</w:t>
      </w:r>
      <w:r w:rsidR="0046734B">
        <w:t>se</w:t>
      </w:r>
      <w:r w:rsidR="008B13D7">
        <w:t xml:space="preserve"> only</w:t>
      </w:r>
      <w:r w:rsidR="0058253C">
        <w:t xml:space="preserve"> </w:t>
      </w:r>
      <w:r w:rsidR="00B40836">
        <w:t>requirements for PUSCH with transform precoding disables</w:t>
      </w:r>
      <w:r w:rsidR="006E2511">
        <w:t xml:space="preserve"> for IAB-nodes</w:t>
      </w:r>
      <w:r w:rsidR="00B40836">
        <w:t>.</w:t>
      </w:r>
      <w:bookmarkEnd w:id="15"/>
    </w:p>
    <w:p w14:paraId="0B984B17" w14:textId="77B57FAB" w:rsidR="00B40836" w:rsidRDefault="009D6201" w:rsidP="00B40836">
      <w:pPr>
        <w:pStyle w:val="RAN4observation0"/>
      </w:pPr>
      <w:bookmarkStart w:id="16" w:name="_Ref47612685"/>
      <w:r>
        <w:t>PUCCH forma</w:t>
      </w:r>
      <w:r w:rsidR="00A60292">
        <w:t xml:space="preserve">ts </w:t>
      </w:r>
      <w:r w:rsidR="002B4414">
        <w:t xml:space="preserve">are optimized for certain use cases, e.g., </w:t>
      </w:r>
      <w:r w:rsidR="00425191">
        <w:t xml:space="preserve">formats 0 and 2 – for TDM, formats 1, 3, and 4 </w:t>
      </w:r>
      <w:r w:rsidR="00320CC2">
        <w:t>for FDM and extreme coverage, formats 3 and 4 require digital B</w:t>
      </w:r>
      <w:r w:rsidR="008445E9">
        <w:t>F when FDM is used.</w:t>
      </w:r>
      <w:bookmarkEnd w:id="16"/>
    </w:p>
    <w:p w14:paraId="08EFBFA8" w14:textId="692A9846" w:rsidR="008445E9" w:rsidRPr="008445E9" w:rsidRDefault="008445E9" w:rsidP="008445E9">
      <w:pPr>
        <w:pStyle w:val="RAN4proposal"/>
      </w:pPr>
      <w:bookmarkStart w:id="17" w:name="_Ref47612686"/>
      <w:r>
        <w:t xml:space="preserve">RAN4 to consider applicability rule that </w:t>
      </w:r>
      <w:r w:rsidR="00FD2DA2">
        <w:t>will limit the PUCCH demodulation requirements of IAB-nodes to two cases</w:t>
      </w:r>
      <w:r w:rsidR="0031389D">
        <w:t xml:space="preserve"> </w:t>
      </w:r>
      <w:r w:rsidR="00CC6CC4">
        <w:t xml:space="preserve">chosen by the </w:t>
      </w:r>
      <w:r w:rsidR="00F341EA">
        <w:t>manufacturer</w:t>
      </w:r>
      <w:r w:rsidR="00CC6CC4">
        <w:t>.</w:t>
      </w:r>
      <w:bookmarkEnd w:id="17"/>
      <w:r w:rsidR="00CC6CC4">
        <w:t xml:space="preserve"> </w:t>
      </w:r>
      <w:r w:rsidR="00FD2DA2">
        <w:t xml:space="preserve"> </w:t>
      </w:r>
    </w:p>
    <w:p w14:paraId="67DDD5FA" w14:textId="77777777" w:rsidR="00CD7492" w:rsidRDefault="00CD7492" w:rsidP="00A37002">
      <w:pPr>
        <w:pStyle w:val="RAN4H1"/>
      </w:pPr>
      <w:r w:rsidRPr="00A37002">
        <w:t>Conclusion</w:t>
      </w:r>
    </w:p>
    <w:p w14:paraId="4466BE53" w14:textId="5E378BB6" w:rsidR="005C23A4" w:rsidRDefault="0012545E" w:rsidP="005C23A4">
      <w:pPr>
        <w:rPr>
          <w:lang w:val="en-GB"/>
        </w:rPr>
      </w:pPr>
      <w:r w:rsidRPr="0012545E">
        <w:rPr>
          <w:lang w:val="en-GB"/>
        </w:rPr>
        <w:t>In this discussion paper</w:t>
      </w:r>
      <w:r w:rsidR="004B0B27">
        <w:rPr>
          <w:lang w:val="en-GB"/>
        </w:rPr>
        <w:t>,</w:t>
      </w:r>
      <w:r w:rsidRPr="0012545E">
        <w:rPr>
          <w:lang w:val="en-GB"/>
        </w:rPr>
        <w:t xml:space="preserve"> the</w:t>
      </w:r>
      <w:r>
        <w:t xml:space="preserve"> performance</w:t>
      </w:r>
      <w:r w:rsidRPr="0012545E">
        <w:rPr>
          <w:lang w:val="en-GB"/>
        </w:rPr>
        <w:t xml:space="preserve"> requirements for </w:t>
      </w:r>
      <w:r>
        <w:t xml:space="preserve">IAB-nodes in </w:t>
      </w:r>
      <w:r w:rsidR="004B0B27">
        <w:t xml:space="preserve">the </w:t>
      </w:r>
      <w:r>
        <w:t>UL direction are discussed</w:t>
      </w:r>
      <w:r w:rsidRPr="0012545E">
        <w:rPr>
          <w:lang w:val="en-GB"/>
        </w:rPr>
        <w:t>. When considering the new</w:t>
      </w:r>
      <w:r>
        <w:t xml:space="preserve"> IAB architecture and scenarios, it is concluded that </w:t>
      </w:r>
      <w:r w:rsidR="004B0B27">
        <w:t xml:space="preserve">the </w:t>
      </w:r>
      <w:r>
        <w:t>BS requirement</w:t>
      </w:r>
      <w:r w:rsidR="00753E23">
        <w:t>s</w:t>
      </w:r>
      <w:r>
        <w:t xml:space="preserve"> can be applied for IAB-nodes as much as possible with some simplifications</w:t>
      </w:r>
      <w:r w:rsidRPr="0012545E">
        <w:rPr>
          <w:lang w:val="en-GB"/>
        </w:rPr>
        <w:t>. Observations and proposals are derived from this discussion are presented as follows.</w:t>
      </w:r>
    </w:p>
    <w:p w14:paraId="13F7BCC8" w14:textId="75097ED8" w:rsidR="00806978" w:rsidRPr="00806978" w:rsidRDefault="00806978" w:rsidP="005C23A4">
      <w:pPr>
        <w:rPr>
          <w:u w:val="single"/>
        </w:rPr>
      </w:pPr>
      <w:r w:rsidRPr="00806978">
        <w:rPr>
          <w:u w:val="single"/>
        </w:rPr>
        <w:t>Observations and proposal based on NR IAB architecture and deployments:</w:t>
      </w:r>
    </w:p>
    <w:p w14:paraId="1DB2BEEE" w14:textId="6B5EEEA9" w:rsidR="00FF28D7" w:rsidRDefault="00FF28D7" w:rsidP="00F214C6">
      <w:pPr>
        <w:pStyle w:val="RAN4Observation"/>
        <w:numPr>
          <w:ilvl w:val="0"/>
          <w:numId w:val="17"/>
        </w:numPr>
      </w:pPr>
      <w:r w:rsidRPr="00C31840">
        <w:fldChar w:fldCharType="begin"/>
      </w:r>
      <w:r w:rsidRPr="00C31840">
        <w:instrText xml:space="preserve"> REF _Ref47533806 \h </w:instrText>
      </w:r>
      <w:r w:rsidRPr="00C31840">
        <w:fldChar w:fldCharType="separate"/>
      </w:r>
      <w:r w:rsidR="00866893">
        <w:t xml:space="preserve">The IAB-node </w:t>
      </w:r>
      <w:r w:rsidR="00866893" w:rsidRPr="00F62E17">
        <w:t>UL</w:t>
      </w:r>
      <w:r w:rsidR="00866893">
        <w:t xml:space="preserve"> demodulation requirements are very similar to the “traditional” BS demodulation.</w:t>
      </w:r>
      <w:r w:rsidRPr="00C31840">
        <w:fldChar w:fldCharType="end"/>
      </w:r>
    </w:p>
    <w:p w14:paraId="60B61CD8" w14:textId="3616AF84" w:rsidR="00427F12" w:rsidRPr="008F3D0E" w:rsidRDefault="00427F12" w:rsidP="00F214C6">
      <w:pPr>
        <w:pStyle w:val="RAN4proposal"/>
        <w:numPr>
          <w:ilvl w:val="0"/>
          <w:numId w:val="18"/>
        </w:numPr>
        <w:rPr>
          <w:lang w:val="en-GB"/>
        </w:rPr>
      </w:pPr>
      <w:r w:rsidRPr="008F3D0E">
        <w:rPr>
          <w:lang w:val="en-GB"/>
        </w:rPr>
        <w:fldChar w:fldCharType="begin"/>
      </w:r>
      <w:r w:rsidRPr="008F3D0E">
        <w:rPr>
          <w:lang w:val="en-GB"/>
        </w:rPr>
        <w:instrText xml:space="preserve"> REF _Ref47534087 \h </w:instrText>
      </w:r>
      <w:r w:rsidR="00A33C22" w:rsidRPr="008F3D0E">
        <w:rPr>
          <w:lang w:val="en-GB"/>
        </w:rPr>
        <w:instrText xml:space="preserve"> \* MERGEFORMAT </w:instrText>
      </w:r>
      <w:r w:rsidRPr="008F3D0E">
        <w:rPr>
          <w:lang w:val="en-GB"/>
        </w:rPr>
      </w:r>
      <w:r w:rsidRPr="008F3D0E">
        <w:rPr>
          <w:lang w:val="en-GB"/>
        </w:rPr>
        <w:fldChar w:fldCharType="separate"/>
      </w:r>
      <w:r w:rsidR="00866893">
        <w:t>If found to be required, reuse existing BS demodulation performance requirements for the IAB-nodes</w:t>
      </w:r>
      <w:r w:rsidR="00866893" w:rsidRPr="002349CE">
        <w:t xml:space="preserve"> </w:t>
      </w:r>
      <w:r w:rsidR="00866893">
        <w:t>as far as possible.</w:t>
      </w:r>
      <w:r w:rsidRPr="008F3D0E">
        <w:rPr>
          <w:lang w:val="en-GB"/>
        </w:rPr>
        <w:fldChar w:fldCharType="end"/>
      </w:r>
    </w:p>
    <w:p w14:paraId="32F44272" w14:textId="0BD50E93" w:rsidR="00FF28D7" w:rsidRPr="00C86234" w:rsidRDefault="00FF28D7" w:rsidP="00427F12">
      <w:pPr>
        <w:pStyle w:val="RAN4observation0"/>
      </w:pPr>
      <w:r w:rsidRPr="00C86234">
        <w:fldChar w:fldCharType="begin"/>
      </w:r>
      <w:r w:rsidRPr="00C86234">
        <w:instrText xml:space="preserve"> REF _Ref47533850 \h </w:instrText>
      </w:r>
      <w:r w:rsidR="00D75358" w:rsidRPr="00C86234">
        <w:instrText xml:space="preserve"> \* MERGEFORMAT </w:instrText>
      </w:r>
      <w:r w:rsidRPr="00C86234">
        <w:fldChar w:fldCharType="separate"/>
      </w:r>
      <w:r w:rsidR="00866893">
        <w:t xml:space="preserve">The </w:t>
      </w:r>
      <w:proofErr w:type="spellStart"/>
      <w:r w:rsidR="00866893">
        <w:t>behavior</w:t>
      </w:r>
      <w:proofErr w:type="spellEnd"/>
      <w:r w:rsidR="00866893">
        <w:t xml:space="preserve"> of IAB-node BH links is much more predictable, and BH resource allocation is less dynamic than in traditional RAN scenarios.</w:t>
      </w:r>
      <w:r w:rsidRPr="00C86234">
        <w:fldChar w:fldCharType="end"/>
      </w:r>
    </w:p>
    <w:p w14:paraId="7BC12AF8" w14:textId="1F358F0F" w:rsidR="00FF28D7" w:rsidRDefault="00FF28D7" w:rsidP="008F3D0E">
      <w:pPr>
        <w:pStyle w:val="RAN4proposal"/>
        <w:rPr>
          <w:lang w:val="en-GB"/>
        </w:rPr>
      </w:pPr>
      <w:r>
        <w:rPr>
          <w:lang w:val="en-GB"/>
        </w:rPr>
        <w:fldChar w:fldCharType="begin"/>
      </w:r>
      <w:r>
        <w:rPr>
          <w:lang w:val="en-GB"/>
        </w:rPr>
        <w:instrText xml:space="preserve"> REF _Ref47533852 \h </w:instrText>
      </w:r>
      <w:r w:rsidR="00D75358">
        <w:instrText xml:space="preserve"> \* MERGEFORMAT </w:instrText>
      </w:r>
      <w:r>
        <w:rPr>
          <w:lang w:val="en-GB"/>
        </w:rPr>
      </w:r>
      <w:r>
        <w:rPr>
          <w:lang w:val="en-GB"/>
        </w:rPr>
        <w:fldChar w:fldCharType="separate"/>
      </w:r>
      <w:r w:rsidR="00866893">
        <w:t>RAN4 to consider the simplification of BS demodulation requirements to accommodate</w:t>
      </w:r>
      <w:r w:rsidR="00866893" w:rsidRPr="00866893">
        <w:t xml:space="preserve"> simplified</w:t>
      </w:r>
      <w:r w:rsidR="00866893">
        <w:t xml:space="preserve"> IAB-node deployment scenarios.</w:t>
      </w:r>
      <w:r>
        <w:rPr>
          <w:lang w:val="en-GB"/>
        </w:rPr>
        <w:fldChar w:fldCharType="end"/>
      </w:r>
    </w:p>
    <w:p w14:paraId="052E8559" w14:textId="473AA952" w:rsidR="004D4BD2" w:rsidRDefault="004D4BD2" w:rsidP="004D4BD2">
      <w:pPr>
        <w:pStyle w:val="RAN4proposal"/>
        <w:rPr>
          <w:lang w:val="en-GB"/>
        </w:rPr>
      </w:pPr>
      <w:r>
        <w:rPr>
          <w:lang w:val="en-GB"/>
        </w:rPr>
        <w:fldChar w:fldCharType="begin"/>
      </w:r>
      <w:r>
        <w:rPr>
          <w:lang w:val="en-GB"/>
        </w:rPr>
        <w:instrText xml:space="preserve"> REF _Ref47545896 \h </w:instrText>
      </w:r>
      <w:r>
        <w:rPr>
          <w:lang w:val="en-GB"/>
        </w:rPr>
      </w:r>
      <w:r>
        <w:rPr>
          <w:lang w:val="en-GB"/>
        </w:rPr>
        <w:fldChar w:fldCharType="separate"/>
      </w:r>
      <w:r w:rsidR="00866893">
        <w:t>RAN4 to consider applicability rules to reduce the number of tests used for IAB-nodes.</w:t>
      </w:r>
      <w:r>
        <w:rPr>
          <w:lang w:val="en-GB"/>
        </w:rPr>
        <w:fldChar w:fldCharType="end"/>
      </w:r>
    </w:p>
    <w:p w14:paraId="1BF92FB9" w14:textId="01F6F51C" w:rsidR="00806978" w:rsidRDefault="00806978" w:rsidP="00806978">
      <w:pPr>
        <w:rPr>
          <w:lang w:val="en-GB"/>
        </w:rPr>
      </w:pPr>
    </w:p>
    <w:p w14:paraId="7A25E9A4" w14:textId="7A4618E2" w:rsidR="002C11C2" w:rsidRPr="002C11C2" w:rsidRDefault="002C11C2" w:rsidP="00806978">
      <w:pPr>
        <w:rPr>
          <w:u w:val="single"/>
        </w:rPr>
      </w:pPr>
      <w:r w:rsidRPr="002C11C2">
        <w:rPr>
          <w:u w:val="single"/>
        </w:rPr>
        <w:t>Observations and proposals based on</w:t>
      </w:r>
      <w:r>
        <w:rPr>
          <w:u w:val="single"/>
        </w:rPr>
        <w:t xml:space="preserve"> existing</w:t>
      </w:r>
      <w:r w:rsidRPr="002C11C2">
        <w:rPr>
          <w:u w:val="single"/>
        </w:rPr>
        <w:t xml:space="preserve"> BS performance requirements:</w:t>
      </w:r>
    </w:p>
    <w:p w14:paraId="0CAF208C" w14:textId="7205D148" w:rsidR="00FF28D7" w:rsidRDefault="00FF28D7" w:rsidP="00C86234">
      <w:pPr>
        <w:pStyle w:val="RAN4Observation"/>
      </w:pPr>
      <w:r>
        <w:fldChar w:fldCharType="begin"/>
      </w:r>
      <w:r>
        <w:instrText xml:space="preserve"> REF _Ref47533857 \h </w:instrText>
      </w:r>
      <w:r w:rsidR="00C86234">
        <w:instrText xml:space="preserve"> \* MERGEFORMAT </w:instrText>
      </w:r>
      <w:r>
        <w:fldChar w:fldCharType="separate"/>
      </w:r>
      <w:r w:rsidR="00866893">
        <w:t>All mandatory BS demodulation performance requirements are also applicable for IAB-nodes.</w:t>
      </w:r>
      <w:r>
        <w:fldChar w:fldCharType="end"/>
      </w:r>
    </w:p>
    <w:p w14:paraId="1777DD56" w14:textId="5A9B23AE" w:rsidR="00FF28D7" w:rsidRDefault="00FF28D7" w:rsidP="00A33C22">
      <w:pPr>
        <w:pStyle w:val="RAN4observation0"/>
      </w:pPr>
      <w:r>
        <w:lastRenderedPageBreak/>
        <w:fldChar w:fldCharType="begin"/>
      </w:r>
      <w:r>
        <w:instrText xml:space="preserve"> REF _Ref47533859 \h </w:instrText>
      </w:r>
      <w:r w:rsidR="00A33C22">
        <w:instrText xml:space="preserve"> \* MERGEFORMAT </w:instrText>
      </w:r>
      <w:r>
        <w:fldChar w:fldCharType="separate"/>
      </w:r>
      <w:r w:rsidR="00866893" w:rsidRPr="00A72057">
        <w:t>In most BS performance tests</w:t>
      </w:r>
      <w:r w:rsidR="00866893">
        <w:t>,</w:t>
      </w:r>
      <w:r w:rsidR="00866893" w:rsidRPr="00A72057">
        <w:t xml:space="preserve"> the propagation conditions use TDL channel with rather long delay spread and high Doppler frequency assuming UE mobility.</w:t>
      </w:r>
      <w:r>
        <w:fldChar w:fldCharType="end"/>
      </w:r>
    </w:p>
    <w:p w14:paraId="1210D893" w14:textId="2D7D41FE" w:rsidR="00FF28D7" w:rsidRDefault="00FF28D7" w:rsidP="00D75358">
      <w:pPr>
        <w:pStyle w:val="RAN4proposal"/>
        <w:rPr>
          <w:lang w:val="en-GB"/>
        </w:rPr>
      </w:pPr>
      <w:r>
        <w:rPr>
          <w:lang w:val="en-GB"/>
        </w:rPr>
        <w:fldChar w:fldCharType="begin"/>
      </w:r>
      <w:r>
        <w:rPr>
          <w:lang w:val="en-GB"/>
        </w:rPr>
        <w:instrText xml:space="preserve"> REF _Hlk46909154 \h </w:instrText>
      </w:r>
      <w:r>
        <w:rPr>
          <w:lang w:val="en-GB"/>
        </w:rPr>
      </w:r>
      <w:r>
        <w:rPr>
          <w:lang w:val="en-GB"/>
        </w:rPr>
        <w:fldChar w:fldCharType="separate"/>
      </w:r>
      <w:r w:rsidR="00866893">
        <w:t xml:space="preserve">Reuse BS performance requirements with simplified propagation conditions, e.g., </w:t>
      </w:r>
      <w:r w:rsidR="00866893" w:rsidRPr="008A2B4E">
        <w:t>TLD</w:t>
      </w:r>
      <w:r w:rsidR="00866893">
        <w:t xml:space="preserve">A </w:t>
      </w:r>
      <w:r w:rsidR="00866893" w:rsidRPr="008A2B4E">
        <w:t>30-10</w:t>
      </w:r>
      <w:r w:rsidR="00866893">
        <w:t xml:space="preserve"> Low, for IAB-nodes.</w:t>
      </w:r>
      <w:r>
        <w:rPr>
          <w:lang w:val="en-GB"/>
        </w:rPr>
        <w:fldChar w:fldCharType="end"/>
      </w:r>
    </w:p>
    <w:p w14:paraId="6513F3AB" w14:textId="67F16BA0" w:rsidR="00FF28D7" w:rsidRDefault="00FF28D7" w:rsidP="00820D69">
      <w:pPr>
        <w:pStyle w:val="RAN4observation0"/>
      </w:pPr>
      <w:r>
        <w:fldChar w:fldCharType="begin"/>
      </w:r>
      <w:r>
        <w:instrText xml:space="preserve"> REF _Ref47533862 \h </w:instrText>
      </w:r>
      <w:r w:rsidR="00820D69">
        <w:instrText xml:space="preserve"> \* MERGEFORMAT </w:instrText>
      </w:r>
      <w:r>
        <w:fldChar w:fldCharType="separate"/>
      </w:r>
      <w:r w:rsidR="00866893">
        <w:t>Performance requirements on IAB-node with the different number of RX and TX antennas is excessive in IAB context.</w:t>
      </w:r>
      <w:r>
        <w:fldChar w:fldCharType="end"/>
      </w:r>
    </w:p>
    <w:p w14:paraId="51CAE8C0" w14:textId="55D31218" w:rsidR="00FF28D7" w:rsidRDefault="00FF28D7" w:rsidP="00820D69">
      <w:pPr>
        <w:pStyle w:val="RAN4proposal"/>
        <w:rPr>
          <w:lang w:val="en-GB"/>
        </w:rPr>
      </w:pPr>
      <w:r>
        <w:rPr>
          <w:lang w:val="en-GB"/>
        </w:rPr>
        <w:fldChar w:fldCharType="begin"/>
      </w:r>
      <w:r>
        <w:rPr>
          <w:lang w:val="en-GB"/>
        </w:rPr>
        <w:instrText xml:space="preserve"> REF _Ref47533864 \h </w:instrText>
      </w:r>
      <w:r w:rsidR="00820D69">
        <w:rPr>
          <w:lang w:val="en-GB"/>
        </w:rPr>
        <w:instrText xml:space="preserve"> \* MERGEFORMAT </w:instrText>
      </w:r>
      <w:r>
        <w:rPr>
          <w:lang w:val="en-GB"/>
        </w:rPr>
      </w:r>
      <w:r>
        <w:rPr>
          <w:lang w:val="en-GB"/>
        </w:rPr>
        <w:fldChar w:fldCharType="separate"/>
      </w:r>
      <w:r w:rsidR="00866893">
        <w:t>Reuse only BS performance requirements with 1 TX and 2 RX antennas for IAB-nodes.</w:t>
      </w:r>
      <w:r>
        <w:rPr>
          <w:lang w:val="en-GB"/>
        </w:rPr>
        <w:fldChar w:fldCharType="end"/>
      </w:r>
    </w:p>
    <w:p w14:paraId="5AF92420" w14:textId="51352E85" w:rsidR="00F341EA" w:rsidRDefault="00F341EA" w:rsidP="00F341EA">
      <w:pPr>
        <w:pStyle w:val="RAN4Observation"/>
      </w:pPr>
      <w:r>
        <w:fldChar w:fldCharType="begin"/>
      </w:r>
      <w:r>
        <w:instrText xml:space="preserve"> REF _Ref47612682 \h </w:instrText>
      </w:r>
      <w:r>
        <w:fldChar w:fldCharType="separate"/>
      </w:r>
      <w:r w:rsidR="00866893">
        <w:t>If only 2RX antennas are used in the tests, then fixed identity precoder is sufficient.</w:t>
      </w:r>
      <w:r>
        <w:fldChar w:fldCharType="end"/>
      </w:r>
    </w:p>
    <w:p w14:paraId="3883D5F4" w14:textId="6B11E20E" w:rsidR="00F341EA" w:rsidRDefault="00F341EA" w:rsidP="00F341EA">
      <w:pPr>
        <w:pStyle w:val="RAN4proposal"/>
        <w:rPr>
          <w:lang w:val="en-GB"/>
        </w:rPr>
      </w:pPr>
      <w:r>
        <w:rPr>
          <w:lang w:val="en-GB"/>
        </w:rPr>
        <w:fldChar w:fldCharType="begin"/>
      </w:r>
      <w:r>
        <w:rPr>
          <w:lang w:val="en-GB"/>
        </w:rPr>
        <w:instrText xml:space="preserve"> REF _Ref47612684 \h  \* MERGEFORMAT </w:instrText>
      </w:r>
      <w:r>
        <w:rPr>
          <w:lang w:val="en-GB"/>
        </w:rPr>
      </w:r>
      <w:r>
        <w:rPr>
          <w:lang w:val="en-GB"/>
        </w:rPr>
        <w:fldChar w:fldCharType="separate"/>
      </w:r>
      <w:r w:rsidR="00866893">
        <w:t>Reuse only requirements for PUSCH with transform precoding disables for IAB-nodes.</w:t>
      </w:r>
      <w:r>
        <w:rPr>
          <w:lang w:val="en-GB"/>
        </w:rPr>
        <w:fldChar w:fldCharType="end"/>
      </w:r>
    </w:p>
    <w:p w14:paraId="70F3BAF5" w14:textId="6D4650A9" w:rsidR="00F341EA" w:rsidRDefault="00F341EA" w:rsidP="00F341EA">
      <w:pPr>
        <w:pStyle w:val="RAN4observation0"/>
      </w:pPr>
      <w:r>
        <w:fldChar w:fldCharType="begin"/>
      </w:r>
      <w:r>
        <w:instrText xml:space="preserve"> REF _Ref47612685 \h </w:instrText>
      </w:r>
      <w:r>
        <w:fldChar w:fldCharType="separate"/>
      </w:r>
      <w:r w:rsidR="00866893">
        <w:t>PUCCH formats are optimized for certain use cases, e.g., formats 0 and 2 – for TDM, formats 1, 3, and 4 for FDM and extreme coverage, formats 3 and 4 require digital BF when FDM is used.</w:t>
      </w:r>
      <w:r>
        <w:fldChar w:fldCharType="end"/>
      </w:r>
    </w:p>
    <w:p w14:paraId="44570F81" w14:textId="70F43C69" w:rsidR="006524F8" w:rsidRPr="006524F8" w:rsidRDefault="00F341EA" w:rsidP="00F341EA">
      <w:pPr>
        <w:pStyle w:val="RAN4proposal"/>
        <w:rPr>
          <w:lang w:val="en-GB"/>
        </w:rPr>
      </w:pPr>
      <w:r>
        <w:rPr>
          <w:lang w:val="en-GB"/>
        </w:rPr>
        <w:fldChar w:fldCharType="begin"/>
      </w:r>
      <w:r>
        <w:rPr>
          <w:lang w:val="en-GB"/>
        </w:rPr>
        <w:instrText xml:space="preserve"> REF _Ref47612686 \h  \* MERGEFORMAT </w:instrText>
      </w:r>
      <w:r>
        <w:rPr>
          <w:lang w:val="en-GB"/>
        </w:rPr>
      </w:r>
      <w:r>
        <w:rPr>
          <w:lang w:val="en-GB"/>
        </w:rPr>
        <w:fldChar w:fldCharType="separate"/>
      </w:r>
      <w:r w:rsidR="00866893">
        <w:t>RAN4 to consider applicability rule that will limit the PUCCH demodulation requirements of IAB-nodes to two cases chosen by the manufacturer.</w:t>
      </w:r>
      <w:r>
        <w:rPr>
          <w:lang w:val="en-GB"/>
        </w:rPr>
        <w:fldChar w:fldCharType="end"/>
      </w:r>
    </w:p>
    <w:p w14:paraId="34A03C36" w14:textId="77777777" w:rsidR="003B659E" w:rsidRPr="0095295C" w:rsidRDefault="003B659E" w:rsidP="005C23A4">
      <w:pPr>
        <w:pStyle w:val="RAN4H1"/>
        <w:numPr>
          <w:ilvl w:val="0"/>
          <w:numId w:val="0"/>
        </w:numPr>
        <w:ind w:left="360" w:hanging="360"/>
      </w:pPr>
      <w:r w:rsidRPr="0095295C">
        <w:t>References</w:t>
      </w:r>
    </w:p>
    <w:p w14:paraId="5A435E2D" w14:textId="34E6DFAD" w:rsidR="009279D7" w:rsidRPr="007D28CB" w:rsidRDefault="009279D7" w:rsidP="00F214C6">
      <w:pPr>
        <w:pStyle w:val="ListParagraph"/>
        <w:numPr>
          <w:ilvl w:val="0"/>
          <w:numId w:val="6"/>
        </w:numPr>
        <w:ind w:right="-22"/>
        <w:rPr>
          <w:lang w:val="en-GB"/>
        </w:rPr>
      </w:pPr>
      <w:bookmarkStart w:id="18" w:name="_Ref42260529"/>
      <w:bookmarkStart w:id="19" w:name="_Ref45620227"/>
      <w:r>
        <w:t>RP-200084, “Revised WID: Integrated Access and Backhaul for NR”</w:t>
      </w:r>
      <w:bookmarkEnd w:id="18"/>
      <w:r>
        <w:t>.</w:t>
      </w:r>
      <w:bookmarkEnd w:id="19"/>
    </w:p>
    <w:p w14:paraId="181FC6EB" w14:textId="5DF50D27" w:rsidR="007D28CB" w:rsidRPr="00F214C6" w:rsidRDefault="00810269" w:rsidP="00F214C6">
      <w:pPr>
        <w:pStyle w:val="ListParagraph"/>
        <w:numPr>
          <w:ilvl w:val="0"/>
          <w:numId w:val="6"/>
        </w:numPr>
        <w:ind w:right="-22"/>
        <w:rPr>
          <w:lang w:val="en-GB"/>
        </w:rPr>
      </w:pPr>
      <w:r w:rsidRPr="00810269">
        <w:rPr>
          <w:lang w:val="en-GB"/>
        </w:rPr>
        <w:t>R4-2011399</w:t>
      </w:r>
      <w:r w:rsidR="00693C71">
        <w:rPr>
          <w:lang w:val="en-150"/>
        </w:rPr>
        <w:t xml:space="preserve">, “On NR IAB </w:t>
      </w:r>
      <w:r w:rsidR="005C38FD">
        <w:rPr>
          <w:lang w:val="en-150"/>
        </w:rPr>
        <w:t>ge</w:t>
      </w:r>
      <w:bookmarkStart w:id="20" w:name="_GoBack"/>
      <w:bookmarkEnd w:id="20"/>
      <w:r w:rsidR="005C38FD">
        <w:rPr>
          <w:lang w:val="en-150"/>
        </w:rPr>
        <w:t>neral demodulation requirements</w:t>
      </w:r>
      <w:r w:rsidR="00693C71">
        <w:rPr>
          <w:lang w:val="en-150"/>
        </w:rPr>
        <w:t>”</w:t>
      </w:r>
      <w:r w:rsidR="005C38FD">
        <w:rPr>
          <w:lang w:val="en-150"/>
        </w:rPr>
        <w:t>.</w:t>
      </w:r>
    </w:p>
    <w:p w14:paraId="0D2513A7" w14:textId="6D95F355" w:rsidR="00F214C6" w:rsidRPr="005C38FD" w:rsidRDefault="00E05543" w:rsidP="005C38FD">
      <w:pPr>
        <w:pStyle w:val="ListParagraph"/>
        <w:numPr>
          <w:ilvl w:val="0"/>
          <w:numId w:val="6"/>
        </w:numPr>
        <w:ind w:right="-22"/>
        <w:rPr>
          <w:lang w:val="en-GB"/>
        </w:rPr>
      </w:pPr>
      <w:bookmarkStart w:id="21" w:name="_Ref47611266"/>
      <w:bookmarkEnd w:id="21"/>
      <w:r w:rsidRPr="00E05543">
        <w:rPr>
          <w:lang w:val="en-GB"/>
        </w:rPr>
        <w:t>R4-2011328</w:t>
      </w:r>
      <w:r w:rsidR="005C38FD">
        <w:rPr>
          <w:lang w:val="en-150"/>
        </w:rPr>
        <w:t>, “</w:t>
      </w:r>
      <w:r w:rsidRPr="00E05543">
        <w:rPr>
          <w:lang w:val="en-150"/>
        </w:rPr>
        <w:t>On NR IAB-node DL demodulation requirements</w:t>
      </w:r>
      <w:r w:rsidR="005C38FD">
        <w:rPr>
          <w:lang w:val="en-150"/>
        </w:rPr>
        <w:t>”.</w:t>
      </w:r>
    </w:p>
    <w:sectPr w:rsidR="00F214C6" w:rsidRPr="005C38F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1A927" w14:textId="77777777" w:rsidR="005B5D71" w:rsidRDefault="005B5D71" w:rsidP="00001C9B">
      <w:pPr>
        <w:spacing w:after="0" w:line="240" w:lineRule="auto"/>
      </w:pPr>
      <w:r>
        <w:separator/>
      </w:r>
    </w:p>
  </w:endnote>
  <w:endnote w:type="continuationSeparator" w:id="0">
    <w:p w14:paraId="1EABB25C" w14:textId="77777777" w:rsidR="005B5D71" w:rsidRDefault="005B5D7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4F6F0" w14:textId="77777777" w:rsidR="005B5D71" w:rsidRDefault="005B5D71" w:rsidP="00001C9B">
      <w:pPr>
        <w:spacing w:after="0" w:line="240" w:lineRule="auto"/>
      </w:pPr>
      <w:r>
        <w:separator/>
      </w:r>
    </w:p>
  </w:footnote>
  <w:footnote w:type="continuationSeparator" w:id="0">
    <w:p w14:paraId="7652D201" w14:textId="77777777" w:rsidR="005B5D71" w:rsidRDefault="005B5D7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1267"/>
    <w:multiLevelType w:val="hybridMultilevel"/>
    <w:tmpl w:val="4AD8CB62"/>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664554"/>
    <w:multiLevelType w:val="hybridMultilevel"/>
    <w:tmpl w:val="BA6AE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A5A31"/>
    <w:multiLevelType w:val="hybridMultilevel"/>
    <w:tmpl w:val="9FDC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E7299B"/>
    <w:multiLevelType w:val="hybridMultilevel"/>
    <w:tmpl w:val="BC4E8F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2ED61CD2"/>
    <w:lvl w:ilvl="0" w:tplc="021A13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F32A9D"/>
    <w:multiLevelType w:val="hybridMultilevel"/>
    <w:tmpl w:val="2DA6A4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9993F29"/>
    <w:multiLevelType w:val="hybridMultilevel"/>
    <w:tmpl w:val="855ED9D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BB76615"/>
    <w:multiLevelType w:val="hybridMultilevel"/>
    <w:tmpl w:val="E15C49FA"/>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0D4699D2"/>
    <w:lvl w:ilvl="0" w:tplc="A73C407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EA4CF7"/>
    <w:multiLevelType w:val="hybridMultilevel"/>
    <w:tmpl w:val="01A0AC88"/>
    <w:lvl w:ilvl="0" w:tplc="20000001">
      <w:start w:val="1"/>
      <w:numFmt w:val="bullet"/>
      <w:lvlText w:val=""/>
      <w:lvlJc w:val="left"/>
      <w:pPr>
        <w:ind w:left="720" w:hanging="360"/>
      </w:pPr>
      <w:rPr>
        <w:rFonts w:ascii="Symbol" w:hAnsi="Symbol" w:hint="default"/>
      </w:rPr>
    </w:lvl>
    <w:lvl w:ilvl="1" w:tplc="6FAA575C">
      <w:numFmt w:val="bullet"/>
      <w:lvlText w:val="•"/>
      <w:lvlJc w:val="left"/>
      <w:pPr>
        <w:ind w:left="1800" w:hanging="720"/>
      </w:pPr>
      <w:rPr>
        <w:rFonts w:ascii="Times New Roman" w:eastAsiaTheme="minorHAns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AD0B5D"/>
    <w:multiLevelType w:val="hybridMultilevel"/>
    <w:tmpl w:val="45EA9D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204"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6A60A7"/>
    <w:multiLevelType w:val="hybridMultilevel"/>
    <w:tmpl w:val="730C305C"/>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E742511"/>
    <w:multiLevelType w:val="hybridMultilevel"/>
    <w:tmpl w:val="4BE62ECE"/>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8"/>
  </w:num>
  <w:num w:numId="4">
    <w:abstractNumId w:val="12"/>
  </w:num>
  <w:num w:numId="5">
    <w:abstractNumId w:val="11"/>
  </w:num>
  <w:num w:numId="6">
    <w:abstractNumId w:val="0"/>
  </w:num>
  <w:num w:numId="7">
    <w:abstractNumId w:val="2"/>
  </w:num>
  <w:num w:numId="8">
    <w:abstractNumId w:val="3"/>
  </w:num>
  <w:num w:numId="9">
    <w:abstractNumId w:val="14"/>
  </w:num>
  <w:num w:numId="10">
    <w:abstractNumId w:val="10"/>
  </w:num>
  <w:num w:numId="11">
    <w:abstractNumId w:val="6"/>
  </w:num>
  <w:num w:numId="12">
    <w:abstractNumId w:val="15"/>
  </w:num>
  <w:num w:numId="13">
    <w:abstractNumId w:val="7"/>
  </w:num>
  <w:num w:numId="14">
    <w:abstractNumId w:val="1"/>
  </w:num>
  <w:num w:numId="15">
    <w:abstractNumId w:val="13"/>
  </w:num>
  <w:num w:numId="16">
    <w:abstractNumId w:val="5"/>
  </w:num>
  <w:num w:numId="17">
    <w:abstractNumId w:val="4"/>
    <w:lvlOverride w:ilvl="0">
      <w:startOverride w:val="1"/>
    </w:lvlOverride>
  </w:num>
  <w:num w:numId="18">
    <w:abstractNumId w:val="8"/>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mwqAUAoW4gBiwAAAA="/>
  </w:docVars>
  <w:rsids>
    <w:rsidRoot w:val="00841BCD"/>
    <w:rsid w:val="0000186B"/>
    <w:rsid w:val="00001C9B"/>
    <w:rsid w:val="00020859"/>
    <w:rsid w:val="00023C0C"/>
    <w:rsid w:val="00061CCF"/>
    <w:rsid w:val="000748B7"/>
    <w:rsid w:val="00075D50"/>
    <w:rsid w:val="0008612A"/>
    <w:rsid w:val="000B0056"/>
    <w:rsid w:val="000B77C9"/>
    <w:rsid w:val="0012545E"/>
    <w:rsid w:val="00141CAD"/>
    <w:rsid w:val="001745F8"/>
    <w:rsid w:val="0017533E"/>
    <w:rsid w:val="001838CF"/>
    <w:rsid w:val="001A00DB"/>
    <w:rsid w:val="001A1501"/>
    <w:rsid w:val="001A3BA4"/>
    <w:rsid w:val="001B69CC"/>
    <w:rsid w:val="001C0402"/>
    <w:rsid w:val="001E30F6"/>
    <w:rsid w:val="001F43FB"/>
    <w:rsid w:val="002349CE"/>
    <w:rsid w:val="00235F5C"/>
    <w:rsid w:val="0025633A"/>
    <w:rsid w:val="00261F9A"/>
    <w:rsid w:val="002719A3"/>
    <w:rsid w:val="00283283"/>
    <w:rsid w:val="00283805"/>
    <w:rsid w:val="00293221"/>
    <w:rsid w:val="00294F0D"/>
    <w:rsid w:val="002B4414"/>
    <w:rsid w:val="002B4922"/>
    <w:rsid w:val="002C11C2"/>
    <w:rsid w:val="002C2D19"/>
    <w:rsid w:val="002D10FA"/>
    <w:rsid w:val="002D4C55"/>
    <w:rsid w:val="00311564"/>
    <w:rsid w:val="0031389D"/>
    <w:rsid w:val="00320CC2"/>
    <w:rsid w:val="00321E4B"/>
    <w:rsid w:val="00330F82"/>
    <w:rsid w:val="00391972"/>
    <w:rsid w:val="00394DA2"/>
    <w:rsid w:val="003B659E"/>
    <w:rsid w:val="003D3F8B"/>
    <w:rsid w:val="003F529B"/>
    <w:rsid w:val="00425191"/>
    <w:rsid w:val="00427F12"/>
    <w:rsid w:val="0043750A"/>
    <w:rsid w:val="0046390B"/>
    <w:rsid w:val="0046734B"/>
    <w:rsid w:val="00477A7D"/>
    <w:rsid w:val="004A5874"/>
    <w:rsid w:val="004B0B27"/>
    <w:rsid w:val="004D4BD2"/>
    <w:rsid w:val="004E5E66"/>
    <w:rsid w:val="00503B4D"/>
    <w:rsid w:val="00504EE9"/>
    <w:rsid w:val="00536097"/>
    <w:rsid w:val="0054442C"/>
    <w:rsid w:val="00550285"/>
    <w:rsid w:val="0058253C"/>
    <w:rsid w:val="005836F8"/>
    <w:rsid w:val="005918FA"/>
    <w:rsid w:val="005B5D71"/>
    <w:rsid w:val="005C23A4"/>
    <w:rsid w:val="005C38FD"/>
    <w:rsid w:val="005D1CDF"/>
    <w:rsid w:val="005E51CC"/>
    <w:rsid w:val="005E61A8"/>
    <w:rsid w:val="005F6419"/>
    <w:rsid w:val="00617400"/>
    <w:rsid w:val="006524F8"/>
    <w:rsid w:val="006604EC"/>
    <w:rsid w:val="00664950"/>
    <w:rsid w:val="0067527A"/>
    <w:rsid w:val="006767BB"/>
    <w:rsid w:val="00683220"/>
    <w:rsid w:val="00687FA0"/>
    <w:rsid w:val="00693C71"/>
    <w:rsid w:val="006B7010"/>
    <w:rsid w:val="006D2F02"/>
    <w:rsid w:val="006E2511"/>
    <w:rsid w:val="006E5209"/>
    <w:rsid w:val="007032E9"/>
    <w:rsid w:val="007145FF"/>
    <w:rsid w:val="00720A66"/>
    <w:rsid w:val="00742EB4"/>
    <w:rsid w:val="00751515"/>
    <w:rsid w:val="00753E23"/>
    <w:rsid w:val="00777C27"/>
    <w:rsid w:val="00777E5B"/>
    <w:rsid w:val="00785232"/>
    <w:rsid w:val="007C3ED0"/>
    <w:rsid w:val="007D28CB"/>
    <w:rsid w:val="007F560F"/>
    <w:rsid w:val="00806978"/>
    <w:rsid w:val="00806A76"/>
    <w:rsid w:val="00810269"/>
    <w:rsid w:val="00811C9D"/>
    <w:rsid w:val="00816C80"/>
    <w:rsid w:val="00820D69"/>
    <w:rsid w:val="00841BCD"/>
    <w:rsid w:val="008445E9"/>
    <w:rsid w:val="00851A8E"/>
    <w:rsid w:val="00865EB6"/>
    <w:rsid w:val="00866893"/>
    <w:rsid w:val="008826C1"/>
    <w:rsid w:val="008B13D7"/>
    <w:rsid w:val="008B61A2"/>
    <w:rsid w:val="008F3D0E"/>
    <w:rsid w:val="0090091A"/>
    <w:rsid w:val="00900C84"/>
    <w:rsid w:val="009042BD"/>
    <w:rsid w:val="00925E53"/>
    <w:rsid w:val="009279D7"/>
    <w:rsid w:val="00977E1D"/>
    <w:rsid w:val="00993CFA"/>
    <w:rsid w:val="009A676F"/>
    <w:rsid w:val="009B0852"/>
    <w:rsid w:val="009B3462"/>
    <w:rsid w:val="009B5C62"/>
    <w:rsid w:val="009D16A9"/>
    <w:rsid w:val="009D6201"/>
    <w:rsid w:val="009E4CCF"/>
    <w:rsid w:val="00A22B78"/>
    <w:rsid w:val="00A25AE5"/>
    <w:rsid w:val="00A278E4"/>
    <w:rsid w:val="00A33C22"/>
    <w:rsid w:val="00A37002"/>
    <w:rsid w:val="00A37163"/>
    <w:rsid w:val="00A60292"/>
    <w:rsid w:val="00A72057"/>
    <w:rsid w:val="00A76133"/>
    <w:rsid w:val="00A77C93"/>
    <w:rsid w:val="00A91116"/>
    <w:rsid w:val="00AA1B0E"/>
    <w:rsid w:val="00AC5CA7"/>
    <w:rsid w:val="00AE56B1"/>
    <w:rsid w:val="00B00312"/>
    <w:rsid w:val="00B12C17"/>
    <w:rsid w:val="00B3210F"/>
    <w:rsid w:val="00B40836"/>
    <w:rsid w:val="00B6277B"/>
    <w:rsid w:val="00B65963"/>
    <w:rsid w:val="00B66FA8"/>
    <w:rsid w:val="00B73862"/>
    <w:rsid w:val="00B952FB"/>
    <w:rsid w:val="00BA6E48"/>
    <w:rsid w:val="00BF2218"/>
    <w:rsid w:val="00BF606B"/>
    <w:rsid w:val="00BF7CBE"/>
    <w:rsid w:val="00C0365F"/>
    <w:rsid w:val="00C27D9B"/>
    <w:rsid w:val="00C31840"/>
    <w:rsid w:val="00C57077"/>
    <w:rsid w:val="00C86234"/>
    <w:rsid w:val="00CA1B69"/>
    <w:rsid w:val="00CB412C"/>
    <w:rsid w:val="00CC4A62"/>
    <w:rsid w:val="00CC6CC4"/>
    <w:rsid w:val="00CD7492"/>
    <w:rsid w:val="00CE3A6B"/>
    <w:rsid w:val="00D00211"/>
    <w:rsid w:val="00D06309"/>
    <w:rsid w:val="00D33939"/>
    <w:rsid w:val="00D351EA"/>
    <w:rsid w:val="00D43403"/>
    <w:rsid w:val="00D50FF3"/>
    <w:rsid w:val="00D52CB4"/>
    <w:rsid w:val="00D62E71"/>
    <w:rsid w:val="00D740CA"/>
    <w:rsid w:val="00D75358"/>
    <w:rsid w:val="00D85728"/>
    <w:rsid w:val="00DB42FD"/>
    <w:rsid w:val="00DD1C9E"/>
    <w:rsid w:val="00DF2997"/>
    <w:rsid w:val="00DF6E44"/>
    <w:rsid w:val="00E05543"/>
    <w:rsid w:val="00E12709"/>
    <w:rsid w:val="00E31F1F"/>
    <w:rsid w:val="00E33ECE"/>
    <w:rsid w:val="00E63511"/>
    <w:rsid w:val="00E70F49"/>
    <w:rsid w:val="00E73C64"/>
    <w:rsid w:val="00E74CE5"/>
    <w:rsid w:val="00E96158"/>
    <w:rsid w:val="00EC5C08"/>
    <w:rsid w:val="00EC7BC3"/>
    <w:rsid w:val="00ED0BB4"/>
    <w:rsid w:val="00ED7600"/>
    <w:rsid w:val="00EE6D4B"/>
    <w:rsid w:val="00F1362C"/>
    <w:rsid w:val="00F214C6"/>
    <w:rsid w:val="00F31FD3"/>
    <w:rsid w:val="00F341EA"/>
    <w:rsid w:val="00F521A6"/>
    <w:rsid w:val="00F62E17"/>
    <w:rsid w:val="00F824F5"/>
    <w:rsid w:val="00FC29B9"/>
    <w:rsid w:val="00FC6FD3"/>
    <w:rsid w:val="00FD2DA2"/>
    <w:rsid w:val="00FE57ED"/>
    <w:rsid w:val="00FF0301"/>
    <w:rsid w:val="00FF2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semiHidden/>
    <w:unhideWhenUsed/>
    <w:rsid w:val="005E51CC"/>
    <w:pPr>
      <w:spacing w:line="240" w:lineRule="auto"/>
    </w:pPr>
    <w:rPr>
      <w:szCs w:val="20"/>
    </w:rPr>
  </w:style>
  <w:style w:type="character" w:customStyle="1" w:styleId="CommentTextChar">
    <w:name w:val="Comment Text Char"/>
    <w:basedOn w:val="DefaultParagraphFont"/>
    <w:link w:val="CommentText"/>
    <w:uiPriority w:val="99"/>
    <w:semiHidden/>
    <w:rsid w:val="005E51CC"/>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5AIRPNAIUNRU-1328258698-1007</_dlc_DocId>
    <_dlc_DocIdUrl xmlns="71c5aaf6-e6ce-465b-b873-5148d2a4c105">
      <Url>https://nokia.sharepoint.com/sites/c5g/5gradio/_layouts/15/DocIdRedir.aspx?ID=5AIRPNAIUNRU-1328258698-1007</Url>
      <Description>5AIRPNAIUNRU-1328258698-1007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2.xml><?xml version="1.0" encoding="utf-8"?>
<ds:datastoreItem xmlns:ds="http://schemas.openxmlformats.org/officeDocument/2006/customXml" ds:itemID="{94E9C582-0C6F-4519-9891-01776BD57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4.xml><?xml version="1.0" encoding="utf-8"?>
<ds:datastoreItem xmlns:ds="http://schemas.openxmlformats.org/officeDocument/2006/customXml" ds:itemID="{4F1F35F7-AAC9-405F-9F97-639376D75361}">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3b34c8f0-1ef5-4d1e-bb66-517ce7fe7356"/>
    <ds:schemaRef ds:uri="http://schemas.microsoft.com/office/infopath/2007/PartnerControls"/>
    <ds:schemaRef ds:uri="0b6aed8e-0313-4d17-80ff-d0e5da4931c5"/>
    <ds:schemaRef ds:uri="http://www.w3.org/XML/1998/namespace"/>
    <ds:schemaRef ds:uri="http://purl.org/dc/dcmitype/"/>
  </ds:schemaRefs>
</ds:datastoreItem>
</file>

<file path=customXml/itemProps5.xml><?xml version="1.0" encoding="utf-8"?>
<ds:datastoreItem xmlns:ds="http://schemas.openxmlformats.org/officeDocument/2006/customXml" ds:itemID="{730DA179-7CF1-4312-8BCC-8A76742BAF17}">
  <ds:schemaRefs>
    <ds:schemaRef ds:uri="http://schemas.microsoft.com/sharepoint/events"/>
  </ds:schemaRefs>
</ds:datastoreItem>
</file>

<file path=customXml/itemProps6.xml><?xml version="1.0" encoding="utf-8"?>
<ds:datastoreItem xmlns:ds="http://schemas.openxmlformats.org/officeDocument/2006/customXml" ds:itemID="{D6092296-FDC6-4AB1-A491-0F5643EA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5</Pages>
  <Words>1807</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Integrated Access &amp; Backhaul</vt:lpstr>
      <vt:lpstr>    The scope of IAB demodulation</vt:lpstr>
      <vt:lpstr>    IAB use cases and deployments</vt:lpstr>
      <vt:lpstr>Applicability of BS performance requirements for IAB-nodes</vt:lpstr>
      <vt:lpstr>Conclusion</vt:lpstr>
      <vt:lpstr>References</vt:lpstr>
    </vt:vector>
  </TitlesOfParts>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125</cp:revision>
  <dcterms:created xsi:type="dcterms:W3CDTF">2020-08-04T09:52:00Z</dcterms:created>
  <dcterms:modified xsi:type="dcterms:W3CDTF">2020-08-07T17:54:00Z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a2471728-0d2b-4ae5-bfba-c78ae8da0b8a</vt:lpwstr>
  </property>
</Properties>
</file>